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23149" w14:textId="7E0F7B16" w:rsidR="001720E3" w:rsidRPr="004E1440" w:rsidRDefault="004E1440" w:rsidP="001720E3">
      <w:pPr>
        <w:spacing w:before="240" w:after="240" w:line="360" w:lineRule="auto"/>
        <w:jc w:val="right"/>
        <w:rPr>
          <w:b/>
          <w:bCs/>
          <w:i/>
          <w:iCs/>
          <w:color w:val="000000" w:themeColor="text1"/>
        </w:rPr>
      </w:pPr>
      <w:r w:rsidRPr="004E1440">
        <w:rPr>
          <w:b/>
          <w:bCs/>
          <w:i/>
          <w:iCs/>
          <w:color w:val="000000" w:themeColor="text1"/>
        </w:rPr>
        <w:t>https://doi.org/10.23913/ride.v14i28.1814</w:t>
      </w:r>
    </w:p>
    <w:p w14:paraId="0BD60E94" w14:textId="6CED3065" w:rsidR="001720E3" w:rsidRDefault="001720E3" w:rsidP="001720E3">
      <w:pPr>
        <w:spacing w:before="240" w:after="240" w:line="360" w:lineRule="auto"/>
        <w:jc w:val="right"/>
        <w:rPr>
          <w:b/>
          <w:sz w:val="32"/>
          <w:szCs w:val="32"/>
          <w:lang w:val="es-ES"/>
        </w:rPr>
      </w:pPr>
      <w:r w:rsidRPr="0004454B">
        <w:rPr>
          <w:b/>
          <w:bCs/>
          <w:i/>
          <w:iCs/>
          <w:color w:val="000000" w:themeColor="text1"/>
        </w:rPr>
        <w:t>Artículos científicos</w:t>
      </w:r>
    </w:p>
    <w:p w14:paraId="06806912" w14:textId="3EFBF81C" w:rsidR="00124D81" w:rsidRPr="001720E3" w:rsidRDefault="00982C12" w:rsidP="001720E3">
      <w:pPr>
        <w:spacing w:line="276" w:lineRule="auto"/>
        <w:jc w:val="right"/>
        <w:rPr>
          <w:rFonts w:ascii="Calibri" w:eastAsia="Times New Roman" w:hAnsi="Calibri" w:cs="Calibri"/>
          <w:b/>
          <w:color w:val="000000"/>
          <w:sz w:val="32"/>
          <w:szCs w:val="32"/>
          <w:lang w:eastAsia="es-MX"/>
        </w:rPr>
      </w:pPr>
      <w:r w:rsidRPr="001720E3">
        <w:rPr>
          <w:rFonts w:ascii="Calibri" w:eastAsia="Times New Roman" w:hAnsi="Calibri" w:cs="Calibri"/>
          <w:b/>
          <w:color w:val="000000"/>
          <w:sz w:val="32"/>
          <w:szCs w:val="32"/>
          <w:lang w:eastAsia="es-MX"/>
        </w:rPr>
        <w:t xml:space="preserve">Instrumento para evaluar la percepción sobre la infraestructura </w:t>
      </w:r>
      <w:r w:rsidR="0089633D" w:rsidRPr="001720E3">
        <w:rPr>
          <w:rFonts w:ascii="Calibri" w:eastAsia="Times New Roman" w:hAnsi="Calibri" w:cs="Calibri"/>
          <w:b/>
          <w:color w:val="000000"/>
          <w:sz w:val="32"/>
          <w:szCs w:val="32"/>
          <w:lang w:eastAsia="es-MX"/>
        </w:rPr>
        <w:t xml:space="preserve">física y virtual </w:t>
      </w:r>
      <w:r w:rsidRPr="001720E3">
        <w:rPr>
          <w:rFonts w:ascii="Calibri" w:eastAsia="Times New Roman" w:hAnsi="Calibri" w:cs="Calibri"/>
          <w:b/>
          <w:color w:val="000000"/>
          <w:sz w:val="32"/>
          <w:szCs w:val="32"/>
          <w:lang w:eastAsia="es-MX"/>
        </w:rPr>
        <w:t>en las organizaciones: diseño y validación</w:t>
      </w:r>
    </w:p>
    <w:p w14:paraId="6B697928" w14:textId="05C05673" w:rsidR="00982C12" w:rsidRPr="001720E3" w:rsidRDefault="001720E3" w:rsidP="001720E3">
      <w:pPr>
        <w:spacing w:line="276" w:lineRule="auto"/>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r w:rsidR="00982C12" w:rsidRPr="001720E3">
        <w:rPr>
          <w:rFonts w:ascii="Calibri" w:eastAsia="Times New Roman" w:hAnsi="Calibri" w:cs="Calibri"/>
          <w:b/>
          <w:i/>
          <w:iCs/>
          <w:color w:val="000000"/>
          <w:sz w:val="28"/>
          <w:szCs w:val="28"/>
          <w:lang w:eastAsia="es-MX"/>
        </w:rPr>
        <w:t>Instrument to evaluate the perception about</w:t>
      </w:r>
      <w:r w:rsidR="00B73EA3" w:rsidRPr="001720E3">
        <w:rPr>
          <w:rFonts w:ascii="Calibri" w:eastAsia="Times New Roman" w:hAnsi="Calibri" w:cs="Calibri"/>
          <w:b/>
          <w:i/>
          <w:iCs/>
          <w:color w:val="000000"/>
          <w:sz w:val="28"/>
          <w:szCs w:val="28"/>
          <w:lang w:eastAsia="es-MX"/>
        </w:rPr>
        <w:t xml:space="preserve"> of physical and virtual</w:t>
      </w:r>
      <w:r w:rsidR="00982C12" w:rsidRPr="001720E3">
        <w:rPr>
          <w:rFonts w:ascii="Calibri" w:eastAsia="Times New Roman" w:hAnsi="Calibri" w:cs="Calibri"/>
          <w:b/>
          <w:i/>
          <w:iCs/>
          <w:color w:val="000000"/>
          <w:sz w:val="28"/>
          <w:szCs w:val="28"/>
          <w:lang w:eastAsia="es-MX"/>
        </w:rPr>
        <w:t xml:space="preserve"> infrastructure in organizations: design and validation</w:t>
      </w:r>
    </w:p>
    <w:p w14:paraId="06E1CED6" w14:textId="3EC136EB" w:rsidR="001720E3" w:rsidRPr="001720E3" w:rsidRDefault="001720E3" w:rsidP="001720E3">
      <w:pPr>
        <w:spacing w:line="276" w:lineRule="auto"/>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r w:rsidRPr="001720E3">
        <w:rPr>
          <w:rFonts w:ascii="Calibri" w:eastAsia="Times New Roman" w:hAnsi="Calibri" w:cs="Calibri"/>
          <w:b/>
          <w:i/>
          <w:iCs/>
          <w:color w:val="000000"/>
          <w:sz w:val="28"/>
          <w:szCs w:val="28"/>
          <w:lang w:eastAsia="es-MX"/>
        </w:rPr>
        <w:t>Instrumento para avaliar a percepção da infraestrutura física e virtual nas organizações: desenho e validação</w:t>
      </w:r>
    </w:p>
    <w:p w14:paraId="4859EA71" w14:textId="636A0FC7" w:rsidR="009F2A7D" w:rsidRPr="001720E3" w:rsidRDefault="001720E3" w:rsidP="001720E3">
      <w:pPr>
        <w:spacing w:line="276" w:lineRule="auto"/>
        <w:jc w:val="right"/>
        <w:rPr>
          <w:rFonts w:asciiTheme="minorHAnsi" w:hAnsiTheme="minorHAnsi" w:cstheme="minorHAnsi"/>
          <w:b/>
          <w:bCs/>
        </w:rPr>
      </w:pPr>
      <w:r>
        <w:br/>
      </w:r>
      <w:r w:rsidR="009F2A7D" w:rsidRPr="001720E3">
        <w:rPr>
          <w:rFonts w:asciiTheme="minorHAnsi" w:hAnsiTheme="minorHAnsi" w:cstheme="minorHAnsi"/>
          <w:b/>
          <w:bCs/>
        </w:rPr>
        <w:t>Sergio Ivan Lopez Domínguez</w:t>
      </w:r>
    </w:p>
    <w:p w14:paraId="3C83D515" w14:textId="76BBA956" w:rsidR="009F2A7D" w:rsidRPr="004B4CF7" w:rsidRDefault="009F2A7D" w:rsidP="001720E3">
      <w:pPr>
        <w:spacing w:line="276" w:lineRule="auto"/>
        <w:jc w:val="right"/>
      </w:pPr>
      <w:r w:rsidRPr="004B4CF7">
        <w:t>Universidad Juárez del Estado de Durango</w:t>
      </w:r>
      <w:r w:rsidR="001720E3">
        <w:t>, México</w:t>
      </w:r>
    </w:p>
    <w:p w14:paraId="28924CEA" w14:textId="5D3C514A" w:rsidR="009F2A7D" w:rsidRPr="001720E3" w:rsidRDefault="009F2A7D" w:rsidP="001720E3">
      <w:pPr>
        <w:spacing w:line="276" w:lineRule="auto"/>
        <w:jc w:val="right"/>
        <w:rPr>
          <w:rFonts w:asciiTheme="minorHAnsi" w:hAnsiTheme="minorHAnsi" w:cstheme="minorHAnsi"/>
        </w:rPr>
      </w:pPr>
      <w:r w:rsidRPr="001720E3">
        <w:rPr>
          <w:rFonts w:asciiTheme="minorHAnsi" w:hAnsiTheme="minorHAnsi" w:cstheme="minorHAnsi"/>
          <w:color w:val="FF0000"/>
        </w:rPr>
        <w:t>ivanlodo1990@hotmail.com</w:t>
      </w:r>
    </w:p>
    <w:p w14:paraId="0F9D6F06" w14:textId="2D1BE2F0" w:rsidR="00F90556" w:rsidRPr="004B4CF7" w:rsidRDefault="00F90556" w:rsidP="001720E3">
      <w:pPr>
        <w:spacing w:line="276" w:lineRule="auto"/>
        <w:jc w:val="right"/>
      </w:pPr>
      <w:r w:rsidRPr="001720E3">
        <w:t>https://orcid.org/0000-0001-5764-3160</w:t>
      </w:r>
    </w:p>
    <w:p w14:paraId="25B8EDA2" w14:textId="77777777" w:rsidR="00207C35" w:rsidRPr="004B4CF7" w:rsidRDefault="00207C35" w:rsidP="001720E3">
      <w:pPr>
        <w:spacing w:line="276" w:lineRule="auto"/>
        <w:jc w:val="right"/>
      </w:pPr>
    </w:p>
    <w:p w14:paraId="42811906" w14:textId="77777777" w:rsidR="009F2A7D" w:rsidRPr="001720E3" w:rsidRDefault="00F90556" w:rsidP="001720E3">
      <w:pPr>
        <w:spacing w:line="276" w:lineRule="auto"/>
        <w:jc w:val="right"/>
        <w:rPr>
          <w:rFonts w:asciiTheme="minorHAnsi" w:hAnsiTheme="minorHAnsi" w:cstheme="minorHAnsi"/>
          <w:b/>
          <w:bCs/>
        </w:rPr>
      </w:pPr>
      <w:r w:rsidRPr="001720E3">
        <w:rPr>
          <w:rFonts w:asciiTheme="minorHAnsi" w:hAnsiTheme="minorHAnsi" w:cstheme="minorHAnsi"/>
          <w:b/>
          <w:bCs/>
        </w:rPr>
        <w:t>Jesús Guillermo Sotelo Asef</w:t>
      </w:r>
    </w:p>
    <w:p w14:paraId="6DA9C55B" w14:textId="36698461" w:rsidR="00F90556" w:rsidRPr="004B4CF7" w:rsidRDefault="00F90556" w:rsidP="001720E3">
      <w:pPr>
        <w:spacing w:line="276" w:lineRule="auto"/>
        <w:jc w:val="right"/>
      </w:pPr>
      <w:r w:rsidRPr="004B4CF7">
        <w:t>Universidad Juárez del Estado de Durango</w:t>
      </w:r>
      <w:r w:rsidR="001720E3">
        <w:t>, México</w:t>
      </w:r>
    </w:p>
    <w:p w14:paraId="25052D85" w14:textId="591582A5" w:rsidR="00F90556" w:rsidRPr="001720E3" w:rsidRDefault="00F90556" w:rsidP="001720E3">
      <w:pPr>
        <w:spacing w:line="276" w:lineRule="auto"/>
        <w:jc w:val="right"/>
        <w:rPr>
          <w:rFonts w:asciiTheme="minorHAnsi" w:hAnsiTheme="minorHAnsi" w:cstheme="minorHAnsi"/>
          <w:color w:val="FF0000"/>
        </w:rPr>
      </w:pPr>
      <w:r w:rsidRPr="001720E3">
        <w:rPr>
          <w:rFonts w:asciiTheme="minorHAnsi" w:hAnsiTheme="minorHAnsi" w:cstheme="minorHAnsi"/>
          <w:color w:val="FF0000"/>
        </w:rPr>
        <w:t>chuy_sotelo@hotmail.com</w:t>
      </w:r>
    </w:p>
    <w:p w14:paraId="52B00BBA" w14:textId="5F602238" w:rsidR="00F90556" w:rsidRPr="004B4CF7" w:rsidRDefault="00F90556" w:rsidP="001720E3">
      <w:pPr>
        <w:spacing w:line="276" w:lineRule="auto"/>
        <w:jc w:val="right"/>
      </w:pPr>
      <w:r w:rsidRPr="001720E3">
        <w:t>https://orcid.org/0000-0002-0560-866X</w:t>
      </w:r>
    </w:p>
    <w:p w14:paraId="46BEB231" w14:textId="77777777" w:rsidR="00207C35" w:rsidRPr="004B4CF7" w:rsidRDefault="00207C35" w:rsidP="001720E3">
      <w:pPr>
        <w:spacing w:line="276" w:lineRule="auto"/>
        <w:jc w:val="right"/>
      </w:pPr>
    </w:p>
    <w:p w14:paraId="1CC6D08E" w14:textId="77777777" w:rsidR="00F90556" w:rsidRPr="001720E3" w:rsidRDefault="00F90556" w:rsidP="001720E3">
      <w:pPr>
        <w:spacing w:line="276" w:lineRule="auto"/>
        <w:jc w:val="right"/>
        <w:rPr>
          <w:rFonts w:asciiTheme="minorHAnsi" w:hAnsiTheme="minorHAnsi" w:cstheme="minorHAnsi"/>
          <w:b/>
          <w:bCs/>
        </w:rPr>
      </w:pPr>
      <w:r w:rsidRPr="001720E3">
        <w:rPr>
          <w:rFonts w:asciiTheme="minorHAnsi" w:hAnsiTheme="minorHAnsi" w:cstheme="minorHAnsi"/>
          <w:b/>
          <w:bCs/>
        </w:rPr>
        <w:t xml:space="preserve">Manuela Vargas Hernández </w:t>
      </w:r>
    </w:p>
    <w:p w14:paraId="123B8765" w14:textId="7AC5B653" w:rsidR="00F90556" w:rsidRPr="004B4CF7" w:rsidRDefault="00F90556" w:rsidP="001720E3">
      <w:pPr>
        <w:spacing w:line="276" w:lineRule="auto"/>
        <w:jc w:val="right"/>
      </w:pPr>
      <w:r w:rsidRPr="004B4CF7">
        <w:t>Universidad Juárez del Estado de Durango</w:t>
      </w:r>
      <w:r w:rsidR="001720E3">
        <w:t>, México</w:t>
      </w:r>
    </w:p>
    <w:p w14:paraId="10C5DCD3" w14:textId="5562B46A" w:rsidR="00F90556" w:rsidRPr="001720E3" w:rsidRDefault="00F90556" w:rsidP="001720E3">
      <w:pPr>
        <w:spacing w:line="276" w:lineRule="auto"/>
        <w:jc w:val="right"/>
        <w:rPr>
          <w:rFonts w:asciiTheme="minorHAnsi" w:hAnsiTheme="minorHAnsi" w:cstheme="minorHAnsi"/>
          <w:color w:val="FF0000"/>
        </w:rPr>
      </w:pPr>
      <w:r w:rsidRPr="001720E3">
        <w:rPr>
          <w:rFonts w:asciiTheme="minorHAnsi" w:hAnsiTheme="minorHAnsi" w:cstheme="minorHAnsi"/>
          <w:color w:val="FF0000"/>
        </w:rPr>
        <w:t>mimi.vargas@ujed.mx</w:t>
      </w:r>
    </w:p>
    <w:p w14:paraId="11B547CC" w14:textId="6E993F35" w:rsidR="00F90556" w:rsidRPr="004B4CF7" w:rsidRDefault="00F90556" w:rsidP="001720E3">
      <w:pPr>
        <w:spacing w:line="276" w:lineRule="auto"/>
        <w:jc w:val="right"/>
      </w:pPr>
      <w:r w:rsidRPr="001720E3">
        <w:t>https://orcid.org/0009-0007-4502-9025</w:t>
      </w:r>
    </w:p>
    <w:p w14:paraId="71F605B6" w14:textId="77777777" w:rsidR="001720E3" w:rsidRDefault="001720E3" w:rsidP="008E409B">
      <w:pPr>
        <w:spacing w:line="360" w:lineRule="auto"/>
        <w:jc w:val="both"/>
        <w:rPr>
          <w:b/>
          <w:lang w:val="es-ES"/>
        </w:rPr>
      </w:pPr>
    </w:p>
    <w:p w14:paraId="729018F9" w14:textId="07D0D7DE" w:rsidR="00982C12" w:rsidRPr="001720E3" w:rsidRDefault="00982C12" w:rsidP="008E409B">
      <w:pPr>
        <w:spacing w:line="360" w:lineRule="auto"/>
        <w:jc w:val="both"/>
        <w:rPr>
          <w:rFonts w:asciiTheme="minorHAnsi" w:hAnsiTheme="minorHAnsi" w:cstheme="minorHAnsi"/>
          <w:b/>
          <w:sz w:val="28"/>
          <w:szCs w:val="28"/>
          <w:lang w:val="es-ES"/>
        </w:rPr>
      </w:pPr>
      <w:r w:rsidRPr="001720E3">
        <w:rPr>
          <w:rFonts w:asciiTheme="minorHAnsi" w:hAnsiTheme="minorHAnsi" w:cstheme="minorHAnsi"/>
          <w:b/>
          <w:sz w:val="28"/>
          <w:szCs w:val="28"/>
          <w:lang w:val="es-ES"/>
        </w:rPr>
        <w:t>Resumen</w:t>
      </w:r>
    </w:p>
    <w:p w14:paraId="1D1B0DAF" w14:textId="78757FEE" w:rsidR="00982C12" w:rsidRPr="004B4CF7" w:rsidRDefault="00982C12" w:rsidP="001720E3">
      <w:pPr>
        <w:spacing w:line="360" w:lineRule="auto"/>
        <w:jc w:val="both"/>
        <w:rPr>
          <w:lang w:val="es-ES"/>
        </w:rPr>
      </w:pPr>
      <w:r w:rsidRPr="004B4CF7">
        <w:rPr>
          <w:lang w:val="es-ES"/>
        </w:rPr>
        <w:t>La infr</w:t>
      </w:r>
      <w:r w:rsidR="00BF1F88" w:rsidRPr="004B4CF7">
        <w:rPr>
          <w:lang w:val="es-ES"/>
        </w:rPr>
        <w:t>aestructura física y virtual son aspectos</w:t>
      </w:r>
      <w:r w:rsidRPr="004B4CF7">
        <w:rPr>
          <w:lang w:val="es-ES"/>
        </w:rPr>
        <w:t xml:space="preserve"> importante</w:t>
      </w:r>
      <w:r w:rsidR="00BF1F88" w:rsidRPr="004B4CF7">
        <w:rPr>
          <w:lang w:val="es-ES"/>
        </w:rPr>
        <w:t>s</w:t>
      </w:r>
      <w:r w:rsidRPr="004B4CF7">
        <w:rPr>
          <w:lang w:val="es-ES"/>
        </w:rPr>
        <w:t xml:space="preserve"> </w:t>
      </w:r>
      <w:r w:rsidR="00124D81">
        <w:rPr>
          <w:lang w:val="es-ES"/>
        </w:rPr>
        <w:t>por</w:t>
      </w:r>
      <w:r w:rsidRPr="004B4CF7">
        <w:rPr>
          <w:lang w:val="es-ES"/>
        </w:rPr>
        <w:t xml:space="preserve"> </w:t>
      </w:r>
      <w:r w:rsidR="001C5AEE" w:rsidRPr="004B4CF7">
        <w:rPr>
          <w:lang w:val="es-ES"/>
        </w:rPr>
        <w:t xml:space="preserve">evaluar </w:t>
      </w:r>
      <w:r w:rsidRPr="004B4CF7">
        <w:rPr>
          <w:lang w:val="es-ES"/>
        </w:rPr>
        <w:t xml:space="preserve">en las organizaciones, </w:t>
      </w:r>
      <w:r w:rsidR="001C5AEE" w:rsidRPr="004B4CF7">
        <w:rPr>
          <w:lang w:val="es-ES"/>
        </w:rPr>
        <w:t xml:space="preserve">ya que, </w:t>
      </w:r>
      <w:r w:rsidR="00124D81">
        <w:rPr>
          <w:lang w:val="es-ES"/>
        </w:rPr>
        <w:t>en caso de</w:t>
      </w:r>
      <w:r w:rsidR="001C5AEE" w:rsidRPr="004B4CF7">
        <w:rPr>
          <w:lang w:val="es-ES"/>
        </w:rPr>
        <w:t xml:space="preserve"> no hacerlo, </w:t>
      </w:r>
      <w:r w:rsidR="00124D81">
        <w:rPr>
          <w:lang w:val="es-ES"/>
        </w:rPr>
        <w:t xml:space="preserve">pueden surgir </w:t>
      </w:r>
      <w:r w:rsidR="001C5AEE" w:rsidRPr="004B4CF7">
        <w:rPr>
          <w:lang w:val="es-ES"/>
        </w:rPr>
        <w:t>deficiencia</w:t>
      </w:r>
      <w:r w:rsidR="00124D81">
        <w:rPr>
          <w:lang w:val="es-ES"/>
        </w:rPr>
        <w:t>s</w:t>
      </w:r>
      <w:r w:rsidR="001C5AEE" w:rsidRPr="004B4CF7">
        <w:rPr>
          <w:lang w:val="es-ES"/>
        </w:rPr>
        <w:t xml:space="preserve"> en las operaciones, </w:t>
      </w:r>
      <w:r w:rsidR="00124D81">
        <w:rPr>
          <w:lang w:val="es-ES"/>
        </w:rPr>
        <w:t xml:space="preserve">el </w:t>
      </w:r>
      <w:r w:rsidR="00355917" w:rsidRPr="004B4CF7">
        <w:rPr>
          <w:lang w:val="es-ES"/>
        </w:rPr>
        <w:t xml:space="preserve">equipo y </w:t>
      </w:r>
      <w:r w:rsidR="00124D81">
        <w:rPr>
          <w:lang w:val="es-ES"/>
        </w:rPr>
        <w:t xml:space="preserve">el </w:t>
      </w:r>
      <w:r w:rsidR="00355917" w:rsidRPr="004B4CF7">
        <w:rPr>
          <w:lang w:val="es-ES"/>
        </w:rPr>
        <w:t xml:space="preserve">mobiliario no funcional, </w:t>
      </w:r>
      <w:r w:rsidR="00124D81">
        <w:rPr>
          <w:lang w:val="es-ES"/>
        </w:rPr>
        <w:t xml:space="preserve">así como </w:t>
      </w:r>
      <w:r w:rsidR="006139D2" w:rsidRPr="004B4CF7">
        <w:rPr>
          <w:lang w:val="es-ES"/>
        </w:rPr>
        <w:t>escaso control de</w:t>
      </w:r>
      <w:r w:rsidR="00355917" w:rsidRPr="004B4CF7">
        <w:rPr>
          <w:lang w:val="es-ES"/>
        </w:rPr>
        <w:t xml:space="preserve"> datos y recursos electrónicos</w:t>
      </w:r>
      <w:r w:rsidR="00124D81">
        <w:rPr>
          <w:lang w:val="es-ES"/>
        </w:rPr>
        <w:t xml:space="preserve"> y</w:t>
      </w:r>
      <w:r w:rsidR="00355917" w:rsidRPr="004B4CF7">
        <w:rPr>
          <w:lang w:val="es-ES"/>
        </w:rPr>
        <w:t xml:space="preserve"> poca adaptabilidad </w:t>
      </w:r>
      <w:r w:rsidR="006139D2" w:rsidRPr="004B4CF7">
        <w:rPr>
          <w:lang w:val="es-ES"/>
        </w:rPr>
        <w:t xml:space="preserve">tecnológica, </w:t>
      </w:r>
      <w:r w:rsidR="00124D81">
        <w:rPr>
          <w:lang w:val="es-ES"/>
        </w:rPr>
        <w:t>entre otros</w:t>
      </w:r>
      <w:r w:rsidRPr="004B4CF7">
        <w:rPr>
          <w:lang w:val="es-ES"/>
        </w:rPr>
        <w:t>.</w:t>
      </w:r>
      <w:r w:rsidR="00124D81">
        <w:rPr>
          <w:lang w:val="es-ES"/>
        </w:rPr>
        <w:t xml:space="preserve"> Por eso, e</w:t>
      </w:r>
      <w:r w:rsidRPr="004B4CF7">
        <w:rPr>
          <w:lang w:val="es-ES"/>
        </w:rPr>
        <w:t xml:space="preserve">l objetivo </w:t>
      </w:r>
      <w:r w:rsidR="00124D81">
        <w:rPr>
          <w:lang w:val="es-ES"/>
        </w:rPr>
        <w:t xml:space="preserve">de este trabajo </w:t>
      </w:r>
      <w:r w:rsidRPr="004B4CF7">
        <w:rPr>
          <w:lang w:val="es-ES"/>
        </w:rPr>
        <w:t>es diseñar y validar un instrumento que recolecte información relacionada con la percepción sobre infraestructura en una organización</w:t>
      </w:r>
      <w:r w:rsidR="00124D81">
        <w:rPr>
          <w:lang w:val="es-ES"/>
        </w:rPr>
        <w:t xml:space="preserve">. Para ello, se empleó </w:t>
      </w:r>
      <w:r w:rsidRPr="004B4CF7">
        <w:rPr>
          <w:lang w:val="es-ES"/>
        </w:rPr>
        <w:t xml:space="preserve">un enfoque cuantitativo, transversal, correlacional, no exploratorio y descriptivo. La metodológica </w:t>
      </w:r>
      <w:r w:rsidR="00124D81">
        <w:rPr>
          <w:lang w:val="es-ES"/>
        </w:rPr>
        <w:t>consistió en un</w:t>
      </w:r>
      <w:r w:rsidRPr="004B4CF7">
        <w:rPr>
          <w:lang w:val="es-ES"/>
        </w:rPr>
        <w:t xml:space="preserve"> panel de expertos que validó el contenido</w:t>
      </w:r>
      <w:r w:rsidR="00124D81">
        <w:rPr>
          <w:lang w:val="es-ES"/>
        </w:rPr>
        <w:t>, así como en un</w:t>
      </w:r>
      <w:r w:rsidRPr="004B4CF7">
        <w:rPr>
          <w:lang w:val="es-ES"/>
        </w:rPr>
        <w:t xml:space="preserve"> análisis factorial </w:t>
      </w:r>
      <w:r w:rsidR="00124D81">
        <w:rPr>
          <w:lang w:val="es-ES"/>
        </w:rPr>
        <w:t xml:space="preserve">que </w:t>
      </w:r>
      <w:r w:rsidRPr="004B4CF7">
        <w:rPr>
          <w:lang w:val="es-ES"/>
        </w:rPr>
        <w:t xml:space="preserve">validó el constructo usando la prueba </w:t>
      </w:r>
      <w:r w:rsidR="00754994" w:rsidRPr="004B4CF7">
        <w:rPr>
          <w:lang w:val="es-ES"/>
        </w:rPr>
        <w:t xml:space="preserve">KMO (Kaiser Meyer </w:t>
      </w:r>
      <w:r w:rsidRPr="004B4CF7">
        <w:rPr>
          <w:lang w:val="es-ES"/>
        </w:rPr>
        <w:t>Olkin</w:t>
      </w:r>
      <w:r w:rsidR="00754994" w:rsidRPr="004B4CF7">
        <w:rPr>
          <w:lang w:val="es-ES"/>
        </w:rPr>
        <w:t>)</w:t>
      </w:r>
      <w:r w:rsidRPr="004B4CF7">
        <w:rPr>
          <w:lang w:val="es-ES"/>
        </w:rPr>
        <w:t xml:space="preserve"> y </w:t>
      </w:r>
      <w:r w:rsidR="00124D81">
        <w:rPr>
          <w:lang w:val="es-ES"/>
        </w:rPr>
        <w:t xml:space="preserve">la </w:t>
      </w:r>
      <w:r w:rsidRPr="004B4CF7">
        <w:rPr>
          <w:lang w:val="es-ES"/>
        </w:rPr>
        <w:lastRenderedPageBreak/>
        <w:t>esfericidad de Bartlett</w:t>
      </w:r>
      <w:r w:rsidR="00124D81">
        <w:rPr>
          <w:lang w:val="es-ES"/>
        </w:rPr>
        <w:t>. Además,</w:t>
      </w:r>
      <w:r w:rsidRPr="004B4CF7">
        <w:rPr>
          <w:lang w:val="es-ES"/>
        </w:rPr>
        <w:t xml:space="preserve"> con el coeficiente </w:t>
      </w:r>
      <w:r w:rsidR="00124D81">
        <w:rPr>
          <w:lang w:val="es-ES"/>
        </w:rPr>
        <w:t>a</w:t>
      </w:r>
      <w:r w:rsidRPr="004B4CF7">
        <w:rPr>
          <w:lang w:val="es-ES"/>
        </w:rPr>
        <w:t xml:space="preserve">lfa de Cronbach se obtuvo la confiabilidad del instrumento. </w:t>
      </w:r>
      <w:r w:rsidR="00124D81">
        <w:rPr>
          <w:lang w:val="es-ES"/>
        </w:rPr>
        <w:t>D</w:t>
      </w:r>
      <w:r w:rsidR="00124D81" w:rsidRPr="004B4CF7">
        <w:rPr>
          <w:lang w:val="es-ES"/>
        </w:rPr>
        <w:t>espués de aplicar la prueba piloto a 58 individuos</w:t>
      </w:r>
      <w:r w:rsidR="00124D81">
        <w:rPr>
          <w:lang w:val="es-ES"/>
        </w:rPr>
        <w:t>,</w:t>
      </w:r>
      <w:r w:rsidR="00124D81" w:rsidRPr="004B4CF7">
        <w:rPr>
          <w:lang w:val="es-ES"/>
        </w:rPr>
        <w:t xml:space="preserve"> </w:t>
      </w:r>
      <w:r w:rsidR="00124D81">
        <w:rPr>
          <w:lang w:val="es-ES"/>
        </w:rPr>
        <w:t>e</w:t>
      </w:r>
      <w:r w:rsidRPr="004B4CF7">
        <w:rPr>
          <w:lang w:val="es-ES"/>
        </w:rPr>
        <w:t>l resultad</w:t>
      </w:r>
      <w:r w:rsidR="00313D3D" w:rsidRPr="004B4CF7">
        <w:rPr>
          <w:lang w:val="es-ES"/>
        </w:rPr>
        <w:t xml:space="preserve">o </w:t>
      </w:r>
      <w:r w:rsidRPr="004B4CF7">
        <w:rPr>
          <w:lang w:val="es-ES"/>
        </w:rPr>
        <w:t>fue</w:t>
      </w:r>
      <w:r w:rsidR="00124D81">
        <w:rPr>
          <w:lang w:val="es-ES"/>
        </w:rPr>
        <w:t xml:space="preserve"> el siguiente</w:t>
      </w:r>
      <w:r w:rsidRPr="004B4CF7">
        <w:rPr>
          <w:lang w:val="es-ES"/>
        </w:rPr>
        <w:t>: KMO 0.7</w:t>
      </w:r>
      <w:r w:rsidR="005233F4" w:rsidRPr="004B4CF7">
        <w:rPr>
          <w:lang w:val="es-ES"/>
        </w:rPr>
        <w:t>38</w:t>
      </w:r>
      <w:r w:rsidR="00124D81">
        <w:rPr>
          <w:lang w:val="es-ES"/>
        </w:rPr>
        <w:t>,</w:t>
      </w:r>
      <w:r w:rsidRPr="004B4CF7">
        <w:rPr>
          <w:lang w:val="es-ES"/>
        </w:rPr>
        <w:t xml:space="preserve"> esfericidad de Bartlett 0.000</w:t>
      </w:r>
      <w:r w:rsidR="00124D81">
        <w:rPr>
          <w:lang w:val="es-ES"/>
        </w:rPr>
        <w:t xml:space="preserve"> y</w:t>
      </w:r>
      <w:r w:rsidRPr="004B4CF7">
        <w:rPr>
          <w:lang w:val="es-ES"/>
        </w:rPr>
        <w:t xml:space="preserve"> </w:t>
      </w:r>
      <w:r w:rsidR="00912A5D" w:rsidRPr="004B4CF7">
        <w:rPr>
          <w:lang w:val="es-ES"/>
        </w:rPr>
        <w:t xml:space="preserve">coeficiente </w:t>
      </w:r>
      <w:r w:rsidR="00124D81">
        <w:rPr>
          <w:lang w:val="es-ES"/>
        </w:rPr>
        <w:t>a</w:t>
      </w:r>
      <w:r w:rsidRPr="004B4CF7">
        <w:rPr>
          <w:lang w:val="es-ES"/>
        </w:rPr>
        <w:t>lfa de Cronbach de 0.9</w:t>
      </w:r>
      <w:r w:rsidR="00313D3D" w:rsidRPr="004B4CF7">
        <w:rPr>
          <w:lang w:val="es-ES"/>
        </w:rPr>
        <w:t>42</w:t>
      </w:r>
      <w:r w:rsidR="00912A5D" w:rsidRPr="004B4CF7">
        <w:rPr>
          <w:lang w:val="es-ES"/>
        </w:rPr>
        <w:t xml:space="preserve"> para el instrumento completo</w:t>
      </w:r>
      <w:r w:rsidRPr="004B4CF7">
        <w:rPr>
          <w:lang w:val="es-ES"/>
        </w:rPr>
        <w:t xml:space="preserve">. Finalmente, los hallazgos </w:t>
      </w:r>
      <w:r w:rsidR="00124D81">
        <w:rPr>
          <w:lang w:val="es-ES"/>
        </w:rPr>
        <w:t>permitieron determinar</w:t>
      </w:r>
      <w:r w:rsidRPr="004B4CF7">
        <w:rPr>
          <w:lang w:val="es-ES"/>
        </w:rPr>
        <w:t xml:space="preserve"> el incremento de cuatro </w:t>
      </w:r>
      <w:r w:rsidR="00124D81" w:rsidRPr="004B4CF7">
        <w:rPr>
          <w:lang w:val="es-ES"/>
        </w:rPr>
        <w:t xml:space="preserve">a seis </w:t>
      </w:r>
      <w:r w:rsidRPr="004B4CF7">
        <w:rPr>
          <w:lang w:val="es-ES"/>
        </w:rPr>
        <w:t>dimensiones propuestas por ISO</w:t>
      </w:r>
      <w:r w:rsidR="006B75CC" w:rsidRPr="004B4CF7">
        <w:rPr>
          <w:lang w:val="es-ES"/>
        </w:rPr>
        <w:t xml:space="preserve"> </w:t>
      </w:r>
      <w:r w:rsidR="005233F4" w:rsidRPr="004B4CF7">
        <w:rPr>
          <w:lang w:val="es-ES"/>
        </w:rPr>
        <w:t xml:space="preserve">con su respectivo coeficiente </w:t>
      </w:r>
      <w:r w:rsidR="00124D81">
        <w:rPr>
          <w:lang w:val="es-ES"/>
        </w:rPr>
        <w:t>a</w:t>
      </w:r>
      <w:r w:rsidR="005233F4" w:rsidRPr="004B4CF7">
        <w:rPr>
          <w:lang w:val="es-ES"/>
        </w:rPr>
        <w:t xml:space="preserve">lfa de Cronbach, </w:t>
      </w:r>
      <w:r w:rsidR="006B75CC" w:rsidRPr="004B4CF7">
        <w:rPr>
          <w:lang w:val="es-ES"/>
        </w:rPr>
        <w:t>denominadas procesadores de información</w:t>
      </w:r>
      <w:r w:rsidR="00D72E98" w:rsidRPr="004B4CF7">
        <w:rPr>
          <w:lang w:val="es-ES"/>
        </w:rPr>
        <w:t xml:space="preserve"> (0</w:t>
      </w:r>
      <w:r w:rsidR="00D72E98" w:rsidRPr="004B4CF7">
        <w:rPr>
          <w:rFonts w:eastAsia="Times New Roman"/>
          <w:color w:val="000000"/>
          <w:szCs w:val="20"/>
          <w:lang w:eastAsia="es-MX"/>
        </w:rPr>
        <w:t>.882</w:t>
      </w:r>
      <w:r w:rsidR="00D72E98" w:rsidRPr="004B4CF7">
        <w:rPr>
          <w:lang w:val="es-ES"/>
        </w:rPr>
        <w:t>);</w:t>
      </w:r>
      <w:r w:rsidR="006B75CC" w:rsidRPr="004B4CF7">
        <w:rPr>
          <w:lang w:val="es-ES"/>
        </w:rPr>
        <w:t xml:space="preserve"> </w:t>
      </w:r>
      <w:r w:rsidR="007D7BD0" w:rsidRPr="004B4CF7">
        <w:rPr>
          <w:lang w:val="es-ES"/>
        </w:rPr>
        <w:t>c</w:t>
      </w:r>
      <w:r w:rsidR="007D4310" w:rsidRPr="004B4CF7">
        <w:rPr>
          <w:lang w:val="es-ES"/>
        </w:rPr>
        <w:t>iberseguridad y telecomunicaciones</w:t>
      </w:r>
      <w:r w:rsidR="00D72E98" w:rsidRPr="004B4CF7">
        <w:rPr>
          <w:lang w:val="es-ES"/>
        </w:rPr>
        <w:t xml:space="preserve"> (0.887);</w:t>
      </w:r>
      <w:r w:rsidR="006B75CC" w:rsidRPr="004B4CF7">
        <w:rPr>
          <w:lang w:val="es-ES"/>
        </w:rPr>
        <w:t xml:space="preserve"> </w:t>
      </w:r>
      <w:r w:rsidR="007D7BD0" w:rsidRPr="004B4CF7">
        <w:rPr>
          <w:lang w:val="es-ES"/>
        </w:rPr>
        <w:t xml:space="preserve">dispositivos electrónicos, servicio de internet y transporte </w:t>
      </w:r>
      <w:r w:rsidR="00D72E98" w:rsidRPr="004B4CF7">
        <w:rPr>
          <w:lang w:val="es-ES"/>
        </w:rPr>
        <w:t>(0.865);</w:t>
      </w:r>
      <w:r w:rsidR="006B75CC" w:rsidRPr="004B4CF7">
        <w:rPr>
          <w:lang w:val="es-ES"/>
        </w:rPr>
        <w:t xml:space="preserve"> espacio físico y virtual</w:t>
      </w:r>
      <w:r w:rsidR="00D72E98" w:rsidRPr="004B4CF7">
        <w:rPr>
          <w:lang w:val="es-ES"/>
        </w:rPr>
        <w:t xml:space="preserve"> (0.809);</w:t>
      </w:r>
      <w:r w:rsidR="006B75CC" w:rsidRPr="004B4CF7">
        <w:rPr>
          <w:lang w:val="es-ES"/>
        </w:rPr>
        <w:t xml:space="preserve"> intercambio y almacenamiento de información</w:t>
      </w:r>
      <w:r w:rsidR="00D72E98" w:rsidRPr="004B4CF7">
        <w:rPr>
          <w:lang w:val="es-ES"/>
        </w:rPr>
        <w:t xml:space="preserve"> (</w:t>
      </w:r>
      <w:r w:rsidR="00856E97" w:rsidRPr="004B4CF7">
        <w:rPr>
          <w:lang w:val="es-ES"/>
        </w:rPr>
        <w:t xml:space="preserve">0.724); </w:t>
      </w:r>
      <w:r w:rsidR="006B75CC" w:rsidRPr="004B4CF7">
        <w:rPr>
          <w:lang w:val="es-ES"/>
        </w:rPr>
        <w:t>ergonomía y ventilación en el espacio de trabajo</w:t>
      </w:r>
      <w:r w:rsidR="00856E97" w:rsidRPr="004B4CF7">
        <w:rPr>
          <w:lang w:val="es-ES"/>
        </w:rPr>
        <w:t xml:space="preserve"> (0.861)</w:t>
      </w:r>
      <w:r w:rsidRPr="004B4CF7">
        <w:rPr>
          <w:lang w:val="es-ES"/>
        </w:rPr>
        <w:t xml:space="preserve">. </w:t>
      </w:r>
      <w:r w:rsidR="00124D81">
        <w:rPr>
          <w:lang w:val="es-ES"/>
        </w:rPr>
        <w:t>En síntesis, l</w:t>
      </w:r>
      <w:r w:rsidRPr="004B4CF7">
        <w:rPr>
          <w:lang w:val="es-ES"/>
        </w:rPr>
        <w:t xml:space="preserve">a principal contribución es un instrumento </w:t>
      </w:r>
      <w:r w:rsidR="00124D81" w:rsidRPr="004B4CF7">
        <w:rPr>
          <w:lang w:val="es-ES"/>
        </w:rPr>
        <w:t xml:space="preserve">pertinente </w:t>
      </w:r>
      <w:r w:rsidR="00124D81">
        <w:rPr>
          <w:lang w:val="es-ES"/>
        </w:rPr>
        <w:t xml:space="preserve">y </w:t>
      </w:r>
      <w:r w:rsidRPr="004B4CF7">
        <w:rPr>
          <w:lang w:val="es-ES"/>
        </w:rPr>
        <w:t xml:space="preserve">con rigor científico </w:t>
      </w:r>
      <w:r w:rsidR="00F24CDD" w:rsidRPr="004B4CF7">
        <w:rPr>
          <w:lang w:val="es-ES"/>
        </w:rPr>
        <w:t xml:space="preserve">para el </w:t>
      </w:r>
      <w:r w:rsidR="00B7202B" w:rsidRPr="004B4CF7">
        <w:rPr>
          <w:lang w:val="es-ES"/>
        </w:rPr>
        <w:t xml:space="preserve">uso general </w:t>
      </w:r>
      <w:r w:rsidR="00F24CDD" w:rsidRPr="004B4CF7">
        <w:rPr>
          <w:lang w:val="es-ES"/>
        </w:rPr>
        <w:t>en</w:t>
      </w:r>
      <w:r w:rsidR="00B7202B" w:rsidRPr="004B4CF7">
        <w:rPr>
          <w:lang w:val="es-ES"/>
        </w:rPr>
        <w:t xml:space="preserve"> la comunidad académica y cualquier sector productivo</w:t>
      </w:r>
      <w:r w:rsidRPr="004B4CF7">
        <w:rPr>
          <w:lang w:val="es-ES"/>
        </w:rPr>
        <w:t>.</w:t>
      </w:r>
    </w:p>
    <w:p w14:paraId="31E8A48D" w14:textId="47AF548A" w:rsidR="00982C12" w:rsidRPr="004B4CF7" w:rsidRDefault="00754994" w:rsidP="001720E3">
      <w:pPr>
        <w:spacing w:line="360" w:lineRule="auto"/>
        <w:jc w:val="both"/>
        <w:rPr>
          <w:lang w:val="es-ES"/>
        </w:rPr>
      </w:pPr>
      <w:r w:rsidRPr="001720E3">
        <w:rPr>
          <w:rFonts w:asciiTheme="minorHAnsi" w:hAnsiTheme="minorHAnsi" w:cstheme="minorHAnsi"/>
          <w:b/>
          <w:sz w:val="28"/>
          <w:szCs w:val="28"/>
          <w:lang w:val="es-ES"/>
        </w:rPr>
        <w:t xml:space="preserve">Palabras </w:t>
      </w:r>
      <w:r w:rsidR="00982C12" w:rsidRPr="001720E3">
        <w:rPr>
          <w:rFonts w:asciiTheme="minorHAnsi" w:hAnsiTheme="minorHAnsi" w:cstheme="minorHAnsi"/>
          <w:b/>
          <w:sz w:val="28"/>
          <w:szCs w:val="28"/>
          <w:lang w:val="es-ES"/>
        </w:rPr>
        <w:t>clave:</w:t>
      </w:r>
      <w:r w:rsidR="00982C12" w:rsidRPr="004B4CF7">
        <w:rPr>
          <w:lang w:val="es-ES"/>
        </w:rPr>
        <w:t xml:space="preserve"> </w:t>
      </w:r>
      <w:r w:rsidR="002D7365" w:rsidRPr="004B4CF7">
        <w:rPr>
          <w:lang w:val="es-ES"/>
        </w:rPr>
        <w:t>validez, instrumento de medida, percepción, organización</w:t>
      </w:r>
      <w:r w:rsidR="00124D81">
        <w:rPr>
          <w:lang w:val="es-ES"/>
        </w:rPr>
        <w:t>.</w:t>
      </w:r>
    </w:p>
    <w:p w14:paraId="58E8A0AB" w14:textId="77777777" w:rsidR="00124D81" w:rsidRDefault="00124D81" w:rsidP="001720E3">
      <w:pPr>
        <w:spacing w:line="360" w:lineRule="auto"/>
        <w:jc w:val="both"/>
        <w:rPr>
          <w:b/>
          <w:lang w:val="en-US"/>
        </w:rPr>
      </w:pPr>
    </w:p>
    <w:p w14:paraId="44FD94FB" w14:textId="6F689AEE" w:rsidR="00982C12" w:rsidRPr="001720E3" w:rsidRDefault="00982C12" w:rsidP="001720E3">
      <w:pPr>
        <w:spacing w:line="360" w:lineRule="auto"/>
        <w:jc w:val="both"/>
        <w:rPr>
          <w:rFonts w:asciiTheme="minorHAnsi" w:hAnsiTheme="minorHAnsi" w:cstheme="minorHAnsi"/>
          <w:b/>
          <w:sz w:val="28"/>
          <w:szCs w:val="28"/>
          <w:lang w:val="es-ES"/>
        </w:rPr>
      </w:pPr>
      <w:r w:rsidRPr="001720E3">
        <w:rPr>
          <w:rFonts w:asciiTheme="minorHAnsi" w:hAnsiTheme="minorHAnsi" w:cstheme="minorHAnsi"/>
          <w:b/>
          <w:sz w:val="28"/>
          <w:szCs w:val="28"/>
          <w:lang w:val="es-ES"/>
        </w:rPr>
        <w:t>Abstract</w:t>
      </w:r>
    </w:p>
    <w:p w14:paraId="4F494044" w14:textId="77777777" w:rsidR="00BF1F88" w:rsidRPr="004B4CF7" w:rsidRDefault="00E0438F" w:rsidP="001720E3">
      <w:pPr>
        <w:spacing w:line="360" w:lineRule="auto"/>
        <w:jc w:val="both"/>
        <w:rPr>
          <w:lang w:val="en-US"/>
        </w:rPr>
      </w:pPr>
      <w:r w:rsidRPr="004B4CF7">
        <w:rPr>
          <w:lang w:val="en-US"/>
        </w:rPr>
        <w:t>The physical and virtual infrastructure are important aspects to evaluate in organizations, since, if not, there could be deficiencies in operations, non-functional equipment and furniture, poor control of data and electronic resources, poor technological adaptability, to mention a few. Even more so, in an era of increasing remote work, technological dependence and demand for adequate conditions in the work area</w:t>
      </w:r>
      <w:r w:rsidR="00BF1F88" w:rsidRPr="004B4CF7">
        <w:rPr>
          <w:lang w:val="en-US"/>
        </w:rPr>
        <w:t>. The objective is to design and validate an instrument that collects information related to the perception of infrastructure in an organization, under a quantitative, cross-sectional, correlational, non-exploratory and descriptive approach. The methodology was: panel of experts validated the content; second, factor analysis validated the construct, using the KMO test (Kaiser Meyer Olkin) and Bartlett's sphericity; third, the reliability of the instrument was obtained with Cronbach's Alpha coefficient. The result, after applying the pilot test to 58 individuals was: KMO 0.738; Bartlett's sphericity 0.000; Cronbach's Alpha coefficient of 0.942 for the complete instrument</w:t>
      </w:r>
      <w:r w:rsidR="005B0C78" w:rsidRPr="004B4CF7">
        <w:rPr>
          <w:lang w:val="en-US"/>
        </w:rPr>
        <w:t xml:space="preserve">. Finally, the findings and conclusions are the increase of four dimensions proposed by ISO to six, with their respective Cronbach's Alpha coefficient, called: information processors (0.882); </w:t>
      </w:r>
      <w:r w:rsidR="007D7BD0" w:rsidRPr="004B4CF7">
        <w:rPr>
          <w:lang w:val="en-US"/>
        </w:rPr>
        <w:t>cybersecurity and telecommunications</w:t>
      </w:r>
      <w:r w:rsidR="005B0C78" w:rsidRPr="004B4CF7">
        <w:rPr>
          <w:lang w:val="en-US"/>
        </w:rPr>
        <w:t xml:space="preserve"> (0.887); </w:t>
      </w:r>
      <w:r w:rsidR="007D7BD0" w:rsidRPr="004B4CF7">
        <w:rPr>
          <w:lang w:val="en-US"/>
        </w:rPr>
        <w:t xml:space="preserve">electronic devices, internet service and transportation </w:t>
      </w:r>
      <w:r w:rsidR="005B0C78" w:rsidRPr="004B4CF7">
        <w:rPr>
          <w:lang w:val="en-US"/>
        </w:rPr>
        <w:t>(0.865); physical and virtual space (0.809); information exchange and storage (0.724); ergonomics and ventilation in the workspace (0.861). The main contribution is an instrument with scientific rigor, relevant for general use in the academic community and any productive sector.</w:t>
      </w:r>
    </w:p>
    <w:p w14:paraId="48335DCC" w14:textId="284B5B5E" w:rsidR="00982C12" w:rsidRDefault="00982C12" w:rsidP="001720E3">
      <w:pPr>
        <w:spacing w:line="360" w:lineRule="auto"/>
        <w:jc w:val="both"/>
        <w:rPr>
          <w:lang w:val="en-US"/>
        </w:rPr>
      </w:pPr>
      <w:r w:rsidRPr="001720E3">
        <w:rPr>
          <w:rFonts w:asciiTheme="minorHAnsi" w:hAnsiTheme="minorHAnsi" w:cstheme="minorHAnsi"/>
          <w:b/>
          <w:sz w:val="28"/>
          <w:szCs w:val="28"/>
          <w:lang w:val="es-ES"/>
        </w:rPr>
        <w:t>Keyword</w:t>
      </w:r>
      <w:r w:rsidR="001720E3">
        <w:rPr>
          <w:rFonts w:asciiTheme="minorHAnsi" w:hAnsiTheme="minorHAnsi" w:cstheme="minorHAnsi"/>
          <w:b/>
          <w:sz w:val="28"/>
          <w:szCs w:val="28"/>
          <w:lang w:val="es-ES"/>
        </w:rPr>
        <w:t>s</w:t>
      </w:r>
      <w:r w:rsidRPr="001720E3">
        <w:rPr>
          <w:rFonts w:asciiTheme="minorHAnsi" w:hAnsiTheme="minorHAnsi" w:cstheme="minorHAnsi"/>
          <w:b/>
          <w:sz w:val="28"/>
          <w:szCs w:val="28"/>
          <w:lang w:val="es-ES"/>
        </w:rPr>
        <w:t>:</w:t>
      </w:r>
      <w:r w:rsidR="002D7365" w:rsidRPr="004B4CF7">
        <w:rPr>
          <w:b/>
          <w:lang w:val="en-US"/>
        </w:rPr>
        <w:t xml:space="preserve"> </w:t>
      </w:r>
      <w:r w:rsidR="002D7365" w:rsidRPr="004B4CF7">
        <w:rPr>
          <w:lang w:val="en-US"/>
        </w:rPr>
        <w:t xml:space="preserve">validity, measuring instrument, perception, </w:t>
      </w:r>
      <w:r w:rsidR="001720E3">
        <w:rPr>
          <w:lang w:val="en-US"/>
        </w:rPr>
        <w:t>organization.</w:t>
      </w:r>
    </w:p>
    <w:p w14:paraId="1C76111B" w14:textId="77777777" w:rsidR="001720E3" w:rsidRDefault="001720E3" w:rsidP="001720E3">
      <w:pPr>
        <w:spacing w:line="360" w:lineRule="auto"/>
        <w:jc w:val="both"/>
        <w:rPr>
          <w:lang w:val="en-US"/>
        </w:rPr>
      </w:pPr>
    </w:p>
    <w:p w14:paraId="1E1B05F4" w14:textId="799014D1" w:rsidR="001720E3" w:rsidRPr="001720E3" w:rsidRDefault="001720E3" w:rsidP="001720E3">
      <w:pPr>
        <w:spacing w:line="360" w:lineRule="auto"/>
        <w:jc w:val="both"/>
        <w:rPr>
          <w:rFonts w:asciiTheme="minorHAnsi" w:hAnsiTheme="minorHAnsi" w:cstheme="minorHAnsi"/>
          <w:b/>
          <w:sz w:val="28"/>
          <w:szCs w:val="28"/>
          <w:lang w:val="es-ES"/>
        </w:rPr>
      </w:pPr>
      <w:r w:rsidRPr="001720E3">
        <w:rPr>
          <w:rFonts w:asciiTheme="minorHAnsi" w:hAnsiTheme="minorHAnsi" w:cstheme="minorHAnsi"/>
          <w:b/>
          <w:sz w:val="28"/>
          <w:szCs w:val="28"/>
          <w:lang w:val="es-ES"/>
        </w:rPr>
        <w:lastRenderedPageBreak/>
        <w:t>Resumo</w:t>
      </w:r>
    </w:p>
    <w:p w14:paraId="55D3E17B" w14:textId="77777777" w:rsidR="001720E3" w:rsidRPr="001720E3" w:rsidRDefault="001720E3" w:rsidP="001720E3">
      <w:pPr>
        <w:spacing w:line="360" w:lineRule="auto"/>
        <w:jc w:val="both"/>
        <w:rPr>
          <w:lang w:val="en-US"/>
        </w:rPr>
      </w:pPr>
      <w:r w:rsidRPr="001720E3">
        <w:rPr>
          <w:lang w:val="en-US"/>
        </w:rPr>
        <w:t>As infra-estruturas físicas e virtuais são aspectos importantes a avaliar nas organizações, pois, caso não o façam, podem surgir deficiências nas operações, nos equipamentos e no mobiliário não funcional, bem como um mau controlo dos dados e dos recursos electrónicos e uma fraca adaptabilidade tecnológica, entre outros. . Portanto, o objetivo deste trabalho é projetar e validar um instrumento que colete informações relacionadas à percepção de infraestrutura em uma organização. Para isso, utilizou-se uma abordagem quantitativa, transversal, correlacional, não exploratória e descritiva. A metodologia consistiu em um painel de especialistas que validou o conteúdo, bem como uma análise fatorial que validou o construto por meio do teste KMO (Kaiser Meyer Olkin) e esfericidade de Bartlett. Além disso, a confiabilidade do instrumento foi obtida por meio do coeficiente alfa de Cronbach. Após aplicação do teste piloto em 58 indivíduos, o resultado foi o seguinte: KMO 0,738, esfericidade de Bartlett 0,000 e coeficiente alfa de Cronbach de 0,942 para o instrumento completo. Por fim, os resultados permitiram determinar o aumento de quatro para seis dimensões propostas pela ISO com seus respectivos coeficientes alfa de Cronbach, denominados processadores de informação (0,882); cibersegurança e telecomunicações (0,887); aparelhos eletrônicos, serviço de internet e transporte (0,865); espaço físico e virtual (0,809); troca e armazenamento de informações (0,724); ergonomia e ventilação no ambiente de trabalho (0,861). Em resumo, a principal contribuição é um instrumento relevante e com rigor científico para uso geral na comunidade acadêmica e em qualquer setor produtivo.</w:t>
      </w:r>
    </w:p>
    <w:p w14:paraId="38A5BEF0" w14:textId="3C7E0779" w:rsidR="001720E3" w:rsidRDefault="001720E3" w:rsidP="001720E3">
      <w:pPr>
        <w:spacing w:line="360" w:lineRule="auto"/>
        <w:jc w:val="both"/>
        <w:rPr>
          <w:lang w:val="en-US"/>
        </w:rPr>
      </w:pPr>
      <w:r w:rsidRPr="001720E3">
        <w:rPr>
          <w:rFonts w:asciiTheme="minorHAnsi" w:hAnsiTheme="minorHAnsi" w:cstheme="minorHAnsi"/>
          <w:b/>
          <w:sz w:val="28"/>
          <w:szCs w:val="28"/>
          <w:lang w:val="es-ES"/>
        </w:rPr>
        <w:t>Palavras-chave:</w:t>
      </w:r>
      <w:r w:rsidRPr="001720E3">
        <w:rPr>
          <w:lang w:val="en-US"/>
        </w:rPr>
        <w:t xml:space="preserve"> validade, instrumento de medida, percepção, organização.</w:t>
      </w:r>
    </w:p>
    <w:p w14:paraId="0B0E3C4F" w14:textId="4CE1C979" w:rsidR="001720E3" w:rsidRPr="004334EF" w:rsidRDefault="001720E3" w:rsidP="001720E3">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Septiembre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Febrero 2024</w:t>
      </w:r>
    </w:p>
    <w:p w14:paraId="3C2C5281" w14:textId="77777777" w:rsidR="001720E3" w:rsidRPr="00787504" w:rsidRDefault="00000000" w:rsidP="001720E3">
      <w:pPr>
        <w:spacing w:line="360" w:lineRule="auto"/>
        <w:jc w:val="both"/>
        <w:rPr>
          <w:lang w:val="en-US"/>
        </w:rPr>
      </w:pPr>
      <w:r>
        <w:rPr>
          <w:noProof/>
        </w:rPr>
        <w:pict w14:anchorId="40BF6EE6">
          <v:rect id="_x0000_i1025" style="width:441.9pt;height:.05pt" o:hralign="center" o:hrstd="t" o:hr="t" fillcolor="#a0a0a0" stroked="f"/>
        </w:pict>
      </w:r>
    </w:p>
    <w:p w14:paraId="75A246EE" w14:textId="77777777" w:rsidR="00982C12" w:rsidRPr="004B4CF7" w:rsidRDefault="00982C12" w:rsidP="00A813CC">
      <w:pPr>
        <w:spacing w:before="160" w:line="360" w:lineRule="auto"/>
        <w:jc w:val="center"/>
        <w:rPr>
          <w:b/>
          <w:sz w:val="32"/>
          <w:lang w:val="es-ES"/>
        </w:rPr>
      </w:pPr>
      <w:r w:rsidRPr="004B4CF7">
        <w:rPr>
          <w:b/>
          <w:sz w:val="32"/>
          <w:lang w:val="es-ES"/>
        </w:rPr>
        <w:t>Introducción</w:t>
      </w:r>
    </w:p>
    <w:p w14:paraId="09FE7C2E" w14:textId="23FEAAFC" w:rsidR="00F816A6" w:rsidRDefault="00F816A6" w:rsidP="00F816A6">
      <w:pPr>
        <w:spacing w:line="360" w:lineRule="auto"/>
        <w:ind w:firstLine="708"/>
        <w:jc w:val="both"/>
      </w:pPr>
      <w:r w:rsidRPr="00CF0DDC">
        <w:t>La sociedad contemporánea se desenvuelve en un entorno cada vez más complejo marcado por una interrelación global. En este contexto, las organizaciones y empresas constantemente buscan mejorar centrándose en aspectos clave como la infraestructura tanto física como virtual. Sin embargo, Gallo</w:t>
      </w:r>
      <w:r w:rsidR="00C71D00" w:rsidRPr="007478FD">
        <w:t>-León</w:t>
      </w:r>
      <w:r w:rsidRPr="00CF0DDC">
        <w:t xml:space="preserve"> (2017)</w:t>
      </w:r>
      <w:r>
        <w:t xml:space="preserve"> señala que </w:t>
      </w:r>
      <w:r w:rsidRPr="00CF0DDC">
        <w:t>evaluar la infraestructura se presenta como un desafío complejo</w:t>
      </w:r>
      <w:r>
        <w:t xml:space="preserve"> debido a </w:t>
      </w:r>
      <w:r w:rsidRPr="00CF0DDC">
        <w:t xml:space="preserve">la necesidad de considerar criterios </w:t>
      </w:r>
      <w:r>
        <w:t>que trasciendan</w:t>
      </w:r>
      <w:r w:rsidRPr="00CF0DDC">
        <w:t xml:space="preserve"> </w:t>
      </w:r>
      <w:r>
        <w:t>solamente los</w:t>
      </w:r>
      <w:r w:rsidRPr="00CF0DDC">
        <w:t xml:space="preserve"> </w:t>
      </w:r>
      <w:r>
        <w:t xml:space="preserve">aspectos </w:t>
      </w:r>
      <w:r w:rsidRPr="00CF0DDC">
        <w:t>técnico</w:t>
      </w:r>
      <w:r>
        <w:t>s,</w:t>
      </w:r>
      <w:r w:rsidRPr="00CF0DDC">
        <w:t xml:space="preserve"> aunque </w:t>
      </w:r>
      <w:r>
        <w:t xml:space="preserve">también </w:t>
      </w:r>
      <w:r w:rsidRPr="00CF0DDC">
        <w:t>destaca un creciente interés en años recientes por evaluarla, impulsado por la preocupación por mantener estándares de calidad.</w:t>
      </w:r>
    </w:p>
    <w:p w14:paraId="02EE96C7" w14:textId="155D83EC" w:rsidR="00F816A6" w:rsidRDefault="00F816A6" w:rsidP="00F816A6">
      <w:pPr>
        <w:spacing w:line="360" w:lineRule="auto"/>
        <w:ind w:firstLine="708"/>
        <w:jc w:val="both"/>
      </w:pPr>
      <w:r>
        <w:t>En tal sentido, e</w:t>
      </w:r>
      <w:r w:rsidRPr="00CF0DDC">
        <w:t xml:space="preserve">n diversos campos se han realizado trabajos para </w:t>
      </w:r>
      <w:r>
        <w:t>valorar</w:t>
      </w:r>
      <w:r w:rsidRPr="00CF0DDC">
        <w:t xml:space="preserve"> la infraestructura con distintos propósitos. </w:t>
      </w:r>
      <w:r>
        <w:t>Por ejemplo</w:t>
      </w:r>
      <w:r w:rsidRPr="00CF0DDC">
        <w:t>, Salazar</w:t>
      </w:r>
      <w:r w:rsidR="00C71D00" w:rsidRPr="007478FD">
        <w:t>-Otálora</w:t>
      </w:r>
      <w:r w:rsidRPr="00CF0DDC">
        <w:t xml:space="preserve"> </w:t>
      </w:r>
      <w:r w:rsidRPr="00CF0DDC">
        <w:rPr>
          <w:i/>
        </w:rPr>
        <w:t>et al</w:t>
      </w:r>
      <w:r w:rsidRPr="00CF0DDC">
        <w:t>. (2023) resaltan la importancia de la infraestructura en empresas, ya que contribuye a un mejor desempeño y rendimiento</w:t>
      </w:r>
      <w:r>
        <w:t xml:space="preserve">, aunque </w:t>
      </w:r>
      <w:r>
        <w:lastRenderedPageBreak/>
        <w:t>también indican</w:t>
      </w:r>
      <w:r w:rsidRPr="00CF0DDC">
        <w:t xml:space="preserve"> </w:t>
      </w:r>
      <w:r>
        <w:t xml:space="preserve">que </w:t>
      </w:r>
      <w:r w:rsidRPr="00CF0DDC">
        <w:t xml:space="preserve">evaluar </w:t>
      </w:r>
      <w:r>
        <w:t>su</w:t>
      </w:r>
      <w:r w:rsidRPr="00CF0DDC">
        <w:t xml:space="preserve"> estado actual implica no solo valorar aspectos físico-técnicos, sino también estimar su funcionalidad general</w:t>
      </w:r>
      <w:r>
        <w:t xml:space="preserve">, ya que esto </w:t>
      </w:r>
      <w:r w:rsidRPr="00CF0DDC">
        <w:t>podría contribuir a crear un ambiente laboral más propicio y mejorar el desempeño de los empleados.</w:t>
      </w:r>
    </w:p>
    <w:p w14:paraId="161B0E43" w14:textId="53DF3A39" w:rsidR="00F816A6" w:rsidRDefault="00F816A6" w:rsidP="00F816A6">
      <w:pPr>
        <w:spacing w:line="360" w:lineRule="auto"/>
        <w:ind w:firstLine="708"/>
        <w:jc w:val="both"/>
      </w:pPr>
      <w:r w:rsidRPr="00CF0DDC">
        <w:t>En el ámbito educativo, investigaciones como las de Quesada</w:t>
      </w:r>
      <w:r w:rsidR="00C71D00" w:rsidRPr="007478FD">
        <w:t>-Chaves</w:t>
      </w:r>
      <w:r w:rsidRPr="00CF0DDC">
        <w:t xml:space="preserve"> (2019) y Pacheco</w:t>
      </w:r>
      <w:r w:rsidR="00C71D00" w:rsidRPr="007478FD">
        <w:t>-Martínez</w:t>
      </w:r>
      <w:r w:rsidRPr="00CF0DDC">
        <w:t xml:space="preserve"> (2021) se </w:t>
      </w:r>
      <w:r>
        <w:t>enfocan</w:t>
      </w:r>
      <w:r w:rsidRPr="00CF0DDC">
        <w:t xml:space="preserve"> en </w:t>
      </w:r>
      <w:r>
        <w:t>examinar</w:t>
      </w:r>
      <w:r w:rsidRPr="00CF0DDC">
        <w:t xml:space="preserve"> la eficiencia de la infraestructura con el fin de </w:t>
      </w:r>
      <w:r>
        <w:t>optimizar</w:t>
      </w:r>
      <w:r w:rsidRPr="00CF0DDC">
        <w:t xml:space="preserve"> el desempeño de los estudiantes. Además, en el sector salud, estudios como los de Candía y Olivera (2021), Amon </w:t>
      </w:r>
      <w:r w:rsidRPr="00CF0DDC">
        <w:rPr>
          <w:i/>
        </w:rPr>
        <w:t>et al</w:t>
      </w:r>
      <w:r w:rsidRPr="00CF0DDC">
        <w:t>. (2022) y Kobeissi y Hickey (2023) se ocupan de la infraestructura hospitalaria y administrativa</w:t>
      </w:r>
      <w:r>
        <w:t>, aunque cabe destacar que</w:t>
      </w:r>
      <w:r w:rsidRPr="00CF0DDC">
        <w:t xml:space="preserve"> estos </w:t>
      </w:r>
      <w:r>
        <w:t>trabajos</w:t>
      </w:r>
      <w:r w:rsidRPr="00CF0DDC">
        <w:t xml:space="preserve"> suelen analizar aspectos estructurales como el estado de los edificios, las instalaciones eléctricas y otras subestructuras, así como la accesibilidad y la gestión de desechos, </w:t>
      </w:r>
      <w:r>
        <w:t>etc</w:t>
      </w:r>
      <w:r w:rsidRPr="00CF0DDC">
        <w:t>.</w:t>
      </w:r>
    </w:p>
    <w:p w14:paraId="26FEDC23" w14:textId="14DF8A05" w:rsidR="00F816A6" w:rsidRDefault="00F816A6" w:rsidP="00F816A6">
      <w:pPr>
        <w:spacing w:line="360" w:lineRule="auto"/>
        <w:ind w:firstLine="708"/>
        <w:jc w:val="both"/>
      </w:pPr>
      <w:r w:rsidRPr="00CF0DDC">
        <w:t>Entre los estudios relevantes se destaca el trabajo de García</w:t>
      </w:r>
      <w:r w:rsidR="00C71D00" w:rsidRPr="007478FD">
        <w:t>-Depestre</w:t>
      </w:r>
      <w:r w:rsidRPr="00CF0DDC">
        <w:t xml:space="preserve"> </w:t>
      </w:r>
      <w:r w:rsidRPr="00CF0DDC">
        <w:rPr>
          <w:i/>
        </w:rPr>
        <w:t>et al</w:t>
      </w:r>
      <w:r w:rsidRPr="00CF0DDC">
        <w:t>. (2021), el cual aborda la evaluación de la infraestructura carretera desde una perspectiva arquitectónica. Por su parte, Shun</w:t>
      </w:r>
      <w:r w:rsidR="00C71D00" w:rsidRPr="007478FD">
        <w:t>-Lin</w:t>
      </w:r>
      <w:r w:rsidRPr="00CF0DDC">
        <w:t xml:space="preserve"> </w:t>
      </w:r>
      <w:r w:rsidRPr="00CF0DDC">
        <w:rPr>
          <w:i/>
        </w:rPr>
        <w:t>et al</w:t>
      </w:r>
      <w:r w:rsidRPr="00CF0DDC">
        <w:t xml:space="preserve">. (2023) se enfocan en valorar aspectos relacionados con la infraestructura óptima y eficaz en el sector de la construcción. Asimismo, Frederiksen </w:t>
      </w:r>
      <w:r w:rsidRPr="00CF0DDC">
        <w:rPr>
          <w:i/>
        </w:rPr>
        <w:t>et al</w:t>
      </w:r>
      <w:r w:rsidRPr="00CF0DDC">
        <w:t>. (2021) analizan la viabilidad de diseñar infraestructura pública adaptada a las necesidades de la ciudadanía, como escuelas, guarderías y edificios públicos de gran envergadura. Est</w:t>
      </w:r>
      <w:r>
        <w:t>a</w:t>
      </w:r>
      <w:r w:rsidRPr="00CF0DDC">
        <w:t xml:space="preserve">s </w:t>
      </w:r>
      <w:r>
        <w:t>indagaciones</w:t>
      </w:r>
      <w:r w:rsidRPr="00CF0DDC">
        <w:t xml:space="preserve"> presentan enfoques diferentes al no considerar aspectos directamente relacionados con las percepciones individuales sobre las necesidades en un entorno laboral específico.</w:t>
      </w:r>
    </w:p>
    <w:p w14:paraId="1A4FF340" w14:textId="594F1595" w:rsidR="00F816A6" w:rsidRDefault="00F816A6" w:rsidP="00F816A6">
      <w:pPr>
        <w:spacing w:line="360" w:lineRule="auto"/>
        <w:ind w:firstLine="708"/>
        <w:jc w:val="both"/>
      </w:pPr>
      <w:r>
        <w:t xml:space="preserve">Por otra parte, se puede señalar que existe </w:t>
      </w:r>
      <w:r w:rsidRPr="00CF0DDC">
        <w:t xml:space="preserve">una brecha en la literatura en cuanto a estudios que proporcionen herramientas para evaluar la infraestructura organizacional desde la perspectiva de los individuos. </w:t>
      </w:r>
      <w:r>
        <w:t>En este sentido, l</w:t>
      </w:r>
      <w:r w:rsidRPr="00CF0DDC">
        <w:t xml:space="preserve">a norma ISO 9001:2015 puede ser una guía útil, ya que proporciona elementos para garantizar la eficacia operativa. Uno de los objetivos de esta es </w:t>
      </w:r>
      <w:r>
        <w:t xml:space="preserve">procurar </w:t>
      </w:r>
      <w:r w:rsidRPr="00CF0DDC">
        <w:t>que las organizaciones realicen sus actividades de manera eficaz, considerando aspectos técnicos, de gestión (Mercader</w:t>
      </w:r>
      <w:r w:rsidR="00C71D00" w:rsidRPr="007478FD">
        <w:rPr>
          <w:rStyle w:val="Hipervnculo"/>
          <w:color w:val="auto"/>
          <w:u w:val="none"/>
        </w:rPr>
        <w:t>-Alarcón</w:t>
      </w:r>
      <w:r w:rsidRPr="00CF0DDC">
        <w:t xml:space="preserve"> </w:t>
      </w:r>
      <w:r w:rsidRPr="00CF0DDC">
        <w:rPr>
          <w:i/>
        </w:rPr>
        <w:t>et al</w:t>
      </w:r>
      <w:r w:rsidRPr="00CF0DDC">
        <w:t>., 2023) y flexibilidad para adaptarse a los cambios tanto internos como externos (Tebar</w:t>
      </w:r>
      <w:r w:rsidR="00C71D00" w:rsidRPr="007478FD">
        <w:rPr>
          <w:rStyle w:val="Hipervnculo"/>
          <w:color w:val="auto"/>
          <w:u w:val="none"/>
        </w:rPr>
        <w:t>-Betegon</w:t>
      </w:r>
      <w:r w:rsidRPr="00CF0DDC">
        <w:t xml:space="preserve"> </w:t>
      </w:r>
      <w:r w:rsidRPr="00CF0DDC">
        <w:rPr>
          <w:i/>
        </w:rPr>
        <w:t>et al</w:t>
      </w:r>
      <w:r w:rsidRPr="00CF0DDC">
        <w:t xml:space="preserve">., 2021). Si se siguen las directrices de </w:t>
      </w:r>
      <w:r>
        <w:t>esta</w:t>
      </w:r>
      <w:r w:rsidRPr="00CF0DDC">
        <w:t xml:space="preserve"> norma, se </w:t>
      </w:r>
      <w:r>
        <w:t>fomenta</w:t>
      </w:r>
      <w:r w:rsidRPr="00CF0DDC">
        <w:t xml:space="preserve"> el rendimiento tanto de los empleados como de la organización, </w:t>
      </w:r>
      <w:r>
        <w:t>lo cual fortalecería</w:t>
      </w:r>
      <w:r w:rsidRPr="00CF0DDC">
        <w:t xml:space="preserve"> su imagen y aumenta</w:t>
      </w:r>
      <w:r>
        <w:t>ría</w:t>
      </w:r>
      <w:r w:rsidRPr="00CF0DDC">
        <w:t xml:space="preserve"> su competitividad (Ulloa</w:t>
      </w:r>
      <w:r w:rsidR="00C71D00" w:rsidRPr="007478FD">
        <w:rPr>
          <w:rStyle w:val="Hipervnculo"/>
          <w:color w:val="auto"/>
          <w:u w:val="none"/>
        </w:rPr>
        <w:t>-Bocanegra</w:t>
      </w:r>
      <w:r w:rsidRPr="00CF0DDC">
        <w:t xml:space="preserve"> </w:t>
      </w:r>
      <w:r w:rsidRPr="00CF0DDC">
        <w:rPr>
          <w:i/>
        </w:rPr>
        <w:t>et al</w:t>
      </w:r>
      <w:r w:rsidRPr="00CF0DDC">
        <w:t>., 2020).</w:t>
      </w:r>
    </w:p>
    <w:p w14:paraId="08338B23" w14:textId="77777777" w:rsidR="00F816A6" w:rsidRDefault="00F816A6" w:rsidP="00F816A6">
      <w:pPr>
        <w:spacing w:line="360" w:lineRule="auto"/>
        <w:ind w:firstLine="708"/>
        <w:jc w:val="both"/>
      </w:pPr>
      <w:r>
        <w:t>Por eso</w:t>
      </w:r>
      <w:r w:rsidRPr="00CF0DDC">
        <w:t xml:space="preserve">, </w:t>
      </w:r>
      <w:r>
        <w:t xml:space="preserve">en esta investigación </w:t>
      </w:r>
      <w:r w:rsidRPr="00CF0DDC">
        <w:t>se emplearán las dimensiones propuestas en el capítulo siete sobre apoyo de la norma ISO 9001:2015, las cuales son parte integral de la infraestructura. El objetivo general de este estudio es diseñar y validar un instrumento que sea útil para una variedad de empresas y organizaciones, con un alcance que abarque los sectores público, privado y social.</w:t>
      </w:r>
      <w:r>
        <w:t xml:space="preserve"> </w:t>
      </w:r>
      <w:r w:rsidRPr="00CF0DDC">
        <w:t xml:space="preserve">El estudio pretende ser un punto de partida para abordar un tema relevante en la actualidad, </w:t>
      </w:r>
      <w:r>
        <w:t>ya que</w:t>
      </w:r>
      <w:r w:rsidRPr="00CF0DDC">
        <w:t xml:space="preserve"> el trabajo puede ser presencial, virtual o híbrido (Ammar </w:t>
      </w:r>
      <w:r w:rsidRPr="00CF0DDC">
        <w:rPr>
          <w:i/>
        </w:rPr>
        <w:t>et al</w:t>
      </w:r>
      <w:r w:rsidRPr="00CF0DDC">
        <w:t>., 2021)</w:t>
      </w:r>
      <w:r>
        <w:t>, por lo que</w:t>
      </w:r>
      <w:r w:rsidRPr="00CF0DDC">
        <w:t xml:space="preserve"> es fundamental que la infraestructura esté preparada para enfrentar los desafíos actuales.</w:t>
      </w:r>
    </w:p>
    <w:p w14:paraId="3C6D69A0" w14:textId="77777777" w:rsidR="00F816A6" w:rsidRDefault="00F816A6" w:rsidP="00F816A6">
      <w:pPr>
        <w:spacing w:line="360" w:lineRule="auto"/>
        <w:ind w:firstLine="708"/>
        <w:jc w:val="both"/>
      </w:pPr>
      <w:r w:rsidRPr="00CF0DDC">
        <w:lastRenderedPageBreak/>
        <w:t>En consecuencia, es esencial desarrollar una base teórica que respalde este instrumento, comenzando por las definiciones de infraestructura en la literatura, así como los aspectos inherentes a ella.</w:t>
      </w:r>
      <w:r>
        <w:t xml:space="preserve"> </w:t>
      </w:r>
      <w:r w:rsidRPr="00CF0DDC">
        <w:t xml:space="preserve">La infraestructura en las organizaciones comprende elementos tanto materiales como no materiales, los cuales se diseñan según las necesidades individuales y los objetivos de las organizaciones con el fin de facilitar el trabajo (Miranda </w:t>
      </w:r>
      <w:r w:rsidRPr="00CF0DDC">
        <w:rPr>
          <w:i/>
        </w:rPr>
        <w:t>et al</w:t>
      </w:r>
      <w:r w:rsidRPr="00CF0DDC">
        <w:t xml:space="preserve">., 2017). Por un lado, la Norma Oficial Mexicana [NOM-001] (2008) describe elementos físicos como edificios, locales, instalaciones y diversas áreas donde se realizan tareas, desde producción hasta almacenamiento o prestación de servicios. Por otro lado, De Oliveira </w:t>
      </w:r>
      <w:r w:rsidRPr="00CF0DDC">
        <w:rPr>
          <w:i/>
        </w:rPr>
        <w:t>et al</w:t>
      </w:r>
      <w:r w:rsidRPr="00CF0DDC">
        <w:t xml:space="preserve">. (2018) identifican espacios físicos individuales y compartidos, como recepciones, salas de estar y conferencias, instalaciones especiales y estacionamientos, entre otros. </w:t>
      </w:r>
    </w:p>
    <w:p w14:paraId="4C79E389" w14:textId="4046E11D" w:rsidR="00F816A6" w:rsidRDefault="00F816A6" w:rsidP="00F816A6">
      <w:pPr>
        <w:spacing w:line="360" w:lineRule="auto"/>
        <w:ind w:firstLine="708"/>
        <w:jc w:val="both"/>
      </w:pPr>
      <w:r>
        <w:t>A partir de lo anterior se puede inferir que</w:t>
      </w:r>
      <w:r w:rsidRPr="00CF0DDC">
        <w:t xml:space="preserve"> la infraestructura integra aspectos físicos y virtuales para facilitar la realización de tareas en la producción y prestación de servicios con el fin de alcanzar los objetivos de la organización.</w:t>
      </w:r>
      <w:r>
        <w:t xml:space="preserve"> En palabras de</w:t>
      </w:r>
      <w:r w:rsidRPr="00CF0DDC">
        <w:t xml:space="preserve"> Rivas</w:t>
      </w:r>
      <w:r w:rsidR="00C71D00" w:rsidRPr="007478FD">
        <w:t>-Hernández</w:t>
      </w:r>
      <w:r w:rsidRPr="00CF0DDC">
        <w:t xml:space="preserve"> </w:t>
      </w:r>
      <w:r w:rsidRPr="00CF0DDC">
        <w:rPr>
          <w:i/>
        </w:rPr>
        <w:t>et al</w:t>
      </w:r>
      <w:r w:rsidRPr="00CF0DDC">
        <w:t>. (2017)</w:t>
      </w:r>
      <w:r>
        <w:t>,</w:t>
      </w:r>
      <w:r w:rsidRPr="00CF0DDC">
        <w:t xml:space="preserve"> </w:t>
      </w:r>
      <w:r>
        <w:t>u</w:t>
      </w:r>
      <w:r w:rsidRPr="00CF0DDC">
        <w:t xml:space="preserve">na infraestructura adecuada promueve el bienestar de las personas y se refleja en una mejor atención a los usuarios. </w:t>
      </w:r>
      <w:r>
        <w:t>Es decir</w:t>
      </w:r>
      <w:r w:rsidRPr="00CF0DDC">
        <w:t>, un entorno óptimo con herramientas funcionales que respalden la ejecución de tareas y la prestación de servicios puede mejorar tanto la calidad como el desarrollo personal del trabajador.</w:t>
      </w:r>
    </w:p>
    <w:p w14:paraId="7B1AD263" w14:textId="36589EAB" w:rsidR="00F816A6" w:rsidRDefault="00F816A6" w:rsidP="00F816A6">
      <w:pPr>
        <w:spacing w:line="360" w:lineRule="auto"/>
        <w:ind w:firstLine="708"/>
        <w:jc w:val="both"/>
      </w:pPr>
      <w:r w:rsidRPr="00CF0DDC">
        <w:t>En cuanto a las herramientas y elementos que componen la infraestructura, la norma</w:t>
      </w:r>
      <w:r w:rsidR="005C0C2C">
        <w:t xml:space="preserve"> Organización Internacional de Normalización</w:t>
      </w:r>
      <w:r w:rsidRPr="00CF0DDC">
        <w:t xml:space="preserve"> </w:t>
      </w:r>
      <w:r w:rsidR="005C0C2C">
        <w:t>[</w:t>
      </w:r>
      <w:r w:rsidRPr="00CF0DDC">
        <w:t>ISO 9001</w:t>
      </w:r>
      <w:r w:rsidR="005C0C2C">
        <w:t>]</w:t>
      </w:r>
      <w:r w:rsidRPr="00CF0DDC">
        <w:t xml:space="preserve"> (2015) </w:t>
      </w:r>
      <w:r>
        <w:t>explica</w:t>
      </w:r>
      <w:r w:rsidRPr="00CF0DDC">
        <w:t xml:space="preserve"> que es el entorno donde se llevan a cabo procesos con el objetivo de ofrecer productos y servicios de calidad. </w:t>
      </w:r>
      <w:r>
        <w:t>Algunos de ellos son los</w:t>
      </w:r>
      <w:r w:rsidRPr="00CF0DDC">
        <w:t xml:space="preserve"> edificios y sus servicios asociados, </w:t>
      </w:r>
      <w:r>
        <w:t xml:space="preserve">el </w:t>
      </w:r>
      <w:r w:rsidRPr="00CF0DDC">
        <w:t xml:space="preserve">mobiliario y </w:t>
      </w:r>
      <w:r>
        <w:t xml:space="preserve">los </w:t>
      </w:r>
      <w:r w:rsidRPr="00CF0DDC">
        <w:t xml:space="preserve">equipos de cómputo, </w:t>
      </w:r>
      <w:r>
        <w:t xml:space="preserve">los </w:t>
      </w:r>
      <w:r w:rsidRPr="00CF0DDC">
        <w:t xml:space="preserve">equipos de transporte y </w:t>
      </w:r>
      <w:r>
        <w:t xml:space="preserve">las </w:t>
      </w:r>
      <w:r w:rsidRPr="00CF0DDC">
        <w:t xml:space="preserve">tecnologías de la información y comunicación (TIC). Estos cuatro elementos, mencionados por la ISO, formarán las dimensiones de la variable </w:t>
      </w:r>
      <w:r w:rsidRPr="00733BD8">
        <w:rPr>
          <w:i/>
          <w:iCs/>
        </w:rPr>
        <w:t>infraestructura</w:t>
      </w:r>
      <w:r>
        <w:t xml:space="preserve"> en el presente trabajo</w:t>
      </w:r>
      <w:r w:rsidRPr="00CF0DDC">
        <w:t>.</w:t>
      </w:r>
    </w:p>
    <w:p w14:paraId="4F061514" w14:textId="77777777" w:rsidR="00F816A6" w:rsidRDefault="00F816A6" w:rsidP="00F816A6">
      <w:pPr>
        <w:spacing w:line="360" w:lineRule="auto"/>
        <w:ind w:firstLine="708"/>
        <w:jc w:val="both"/>
      </w:pPr>
      <w:r>
        <w:t>Ahora bien</w:t>
      </w:r>
      <w:r w:rsidRPr="00CF0DDC">
        <w:t xml:space="preserve">, </w:t>
      </w:r>
      <w:r>
        <w:t>esa</w:t>
      </w:r>
      <w:r w:rsidRPr="00CF0DDC">
        <w:t xml:space="preserve"> infraestructura que comprende edificios y oficinas debe ser adecuada y proporcionar características de confort. </w:t>
      </w:r>
      <w:r>
        <w:t>Por ende, s</w:t>
      </w:r>
      <w:r w:rsidRPr="00CF0DDC">
        <w:t xml:space="preserve">egún Prieto (2012), las oficinas deben cumplir con requisitos básicos de ventilación, tanto mecánica como natural, así como disponer de espacio para actividades distintas a las requeridas por el trabajo, lo que puede potenciar el desempeño y rendimiento laboral. </w:t>
      </w:r>
      <w:r>
        <w:t>Si bien algunas veces se emplean como oficinas</w:t>
      </w:r>
      <w:r w:rsidRPr="00CF0DDC">
        <w:t xml:space="preserve"> infraestructuras construidas con otros propósitos, se </w:t>
      </w:r>
      <w:r>
        <w:t xml:space="preserve">debe procurar </w:t>
      </w:r>
      <w:r w:rsidRPr="00CF0DDC">
        <w:t>que cumplan con las especificaciones que demandan las personas en cuanto a diseño y funcionalidad.</w:t>
      </w:r>
    </w:p>
    <w:p w14:paraId="37637682" w14:textId="77777777" w:rsidR="00F816A6" w:rsidRDefault="00F816A6" w:rsidP="00F816A6">
      <w:pPr>
        <w:spacing w:line="360" w:lineRule="auto"/>
        <w:ind w:firstLine="708"/>
        <w:jc w:val="both"/>
      </w:pPr>
      <w:r w:rsidRPr="00CF0DDC">
        <w:t xml:space="preserve">Además, es imperativo contar con mobiliario y equipo funcional, dado que muchas organizaciones todavía utilizan equipos de cómputo obsoletos. </w:t>
      </w:r>
      <w:r>
        <w:t>Aunado a esto</w:t>
      </w:r>
      <w:r w:rsidRPr="00CF0DDC">
        <w:t xml:space="preserve">, el mobiliario debe ser ergonómico </w:t>
      </w:r>
      <w:r>
        <w:t>(</w:t>
      </w:r>
      <w:r w:rsidRPr="00CF0DDC">
        <w:t xml:space="preserve">Koma </w:t>
      </w:r>
      <w:r w:rsidRPr="00CF0DDC">
        <w:rPr>
          <w:i/>
        </w:rPr>
        <w:t>et al</w:t>
      </w:r>
      <w:r w:rsidRPr="00CF0DDC">
        <w:t>.</w:t>
      </w:r>
      <w:r>
        <w:t>,</w:t>
      </w:r>
      <w:r w:rsidRPr="00CF0DDC">
        <w:t xml:space="preserve"> 2019)</w:t>
      </w:r>
      <w:r>
        <w:t>, mientras que</w:t>
      </w:r>
      <w:r w:rsidRPr="00CF0DDC">
        <w:t xml:space="preserve"> los equipos de cómputo, </w:t>
      </w:r>
      <w:r>
        <w:t xml:space="preserve">las </w:t>
      </w:r>
      <w:r w:rsidRPr="00CF0DDC">
        <w:t xml:space="preserve">impresoras, </w:t>
      </w:r>
      <w:r>
        <w:t xml:space="preserve">los </w:t>
      </w:r>
      <w:r w:rsidRPr="00CF0DDC">
        <w:lastRenderedPageBreak/>
        <w:t>escáneres y demás deben ser actualizados constantemente</w:t>
      </w:r>
      <w:r>
        <w:t xml:space="preserve"> (</w:t>
      </w:r>
      <w:r w:rsidRPr="00CF0DDC">
        <w:t>Stair y Reynolds</w:t>
      </w:r>
      <w:r>
        <w:t>,</w:t>
      </w:r>
      <w:r w:rsidRPr="00CF0DDC">
        <w:t xml:space="preserve"> 2010). </w:t>
      </w:r>
      <w:r>
        <w:t>Además</w:t>
      </w:r>
      <w:r w:rsidRPr="00CF0DDC">
        <w:t xml:space="preserve">, resulta crucial mejorar la conexión a internet y el servicio que se distribuye en la organización, dada la creciente dependencia de las actividades que en la actualidad pueden </w:t>
      </w:r>
      <w:r>
        <w:t>cumplirse</w:t>
      </w:r>
      <w:r w:rsidRPr="00CF0DDC">
        <w:t xml:space="preserve"> a distancia.</w:t>
      </w:r>
    </w:p>
    <w:p w14:paraId="7DC635AF" w14:textId="77777777" w:rsidR="00F816A6" w:rsidRDefault="00F816A6" w:rsidP="00F816A6">
      <w:pPr>
        <w:spacing w:line="360" w:lineRule="auto"/>
        <w:ind w:firstLine="708"/>
        <w:jc w:val="both"/>
      </w:pPr>
      <w:r>
        <w:t xml:space="preserve">En concordancia con esta idea, </w:t>
      </w:r>
      <w:r w:rsidRPr="00CF0DDC">
        <w:t xml:space="preserve">Abualoush </w:t>
      </w:r>
      <w:r w:rsidRPr="00CF0DDC">
        <w:rPr>
          <w:i/>
        </w:rPr>
        <w:t>et al</w:t>
      </w:r>
      <w:r w:rsidRPr="00CF0DDC">
        <w:t>. (2018) destacan la importancia de incluir en la infraestructura elementos como la tecnología de la información</w:t>
      </w:r>
      <w:r>
        <w:t xml:space="preserve"> y</w:t>
      </w:r>
      <w:r w:rsidRPr="00CF0DDC">
        <w:t xml:space="preserve"> una variedad de herramientas y </w:t>
      </w:r>
      <w:r w:rsidRPr="007A1413">
        <w:rPr>
          <w:i/>
          <w:iCs/>
        </w:rPr>
        <w:t>hardware</w:t>
      </w:r>
      <w:r>
        <w:rPr>
          <w:i/>
          <w:iCs/>
        </w:rPr>
        <w:t xml:space="preserve"> </w:t>
      </w:r>
      <w:r w:rsidRPr="00CF0DDC">
        <w:t>para garantizar un desempeño eficiente</w:t>
      </w:r>
      <w:r>
        <w:t xml:space="preserve">, de ahí que </w:t>
      </w:r>
      <w:r w:rsidRPr="00CF0DDC">
        <w:t xml:space="preserve">Yamoah </w:t>
      </w:r>
      <w:r w:rsidRPr="00CF0DDC">
        <w:rPr>
          <w:i/>
        </w:rPr>
        <w:t>et al</w:t>
      </w:r>
      <w:r w:rsidRPr="00CF0DDC">
        <w:t>. (2019) subray</w:t>
      </w:r>
      <w:r>
        <w:t>e</w:t>
      </w:r>
      <w:r w:rsidRPr="00CF0DDC">
        <w:t xml:space="preserve">n que la infraestructura debe tener en cuenta principalmente aspectos de gestión y tecnológicos. </w:t>
      </w:r>
      <w:r>
        <w:t>En otras palabras</w:t>
      </w:r>
      <w:r w:rsidRPr="00CF0DDC">
        <w:t>, es esencial comprender y dar relevancia a estos elementos, ya que es necesario enfrentar los desafíos en un entorno tecnológico que está en constante evolución.</w:t>
      </w:r>
    </w:p>
    <w:p w14:paraId="38068052" w14:textId="1178B3E0" w:rsidR="00F816A6" w:rsidRDefault="00F816A6" w:rsidP="00F816A6">
      <w:pPr>
        <w:spacing w:line="360" w:lineRule="auto"/>
        <w:ind w:firstLine="708"/>
        <w:jc w:val="both"/>
      </w:pPr>
      <w:r w:rsidRPr="00CF0DDC">
        <w:t>Según Peña</w:t>
      </w:r>
      <w:r w:rsidR="007377C2" w:rsidRPr="007478FD">
        <w:t>-Casanova y Anías-Calderon</w:t>
      </w:r>
      <w:r w:rsidR="007377C2">
        <w:t xml:space="preserve"> </w:t>
      </w:r>
      <w:r w:rsidRPr="00CF0DDC">
        <w:t>(2020), en la actualidad se observa una complejidad creciente, así como una mayor diversidad y tamaño en las infraestructuras relacionadas con la tecnología de la información</w:t>
      </w:r>
      <w:r>
        <w:t xml:space="preserve">, lo cual </w:t>
      </w:r>
      <w:r w:rsidRPr="00CF0DDC">
        <w:t>ha impulsado el surgimiento de una gestión integral que refleja las características de una infraestructura estandarizada y estructurada.</w:t>
      </w:r>
      <w:r>
        <w:t xml:space="preserve"> </w:t>
      </w:r>
    </w:p>
    <w:p w14:paraId="55904548" w14:textId="77777777" w:rsidR="00F816A6" w:rsidRPr="004B4CF7" w:rsidRDefault="00F816A6" w:rsidP="001720E3">
      <w:pPr>
        <w:spacing w:line="360" w:lineRule="auto"/>
        <w:ind w:firstLine="567"/>
        <w:jc w:val="both"/>
        <w:rPr>
          <w:lang w:eastAsia="en-US"/>
        </w:rPr>
      </w:pPr>
    </w:p>
    <w:p w14:paraId="7F104C98" w14:textId="77777777" w:rsidR="00982C12" w:rsidRPr="004B4CF7" w:rsidRDefault="00982C12" w:rsidP="001720E3">
      <w:pPr>
        <w:spacing w:line="360" w:lineRule="auto"/>
        <w:jc w:val="center"/>
        <w:rPr>
          <w:b/>
          <w:sz w:val="32"/>
          <w:lang w:val="es-ES"/>
        </w:rPr>
      </w:pPr>
      <w:r w:rsidRPr="004B4CF7">
        <w:rPr>
          <w:b/>
          <w:sz w:val="32"/>
          <w:lang w:val="es-ES"/>
        </w:rPr>
        <w:t>Materiales y métodos</w:t>
      </w:r>
    </w:p>
    <w:p w14:paraId="60F5F2EE" w14:textId="77777777" w:rsidR="00F816A6" w:rsidRPr="00CF0DDC" w:rsidRDefault="00F816A6" w:rsidP="00F816A6">
      <w:pPr>
        <w:spacing w:line="360" w:lineRule="auto"/>
        <w:ind w:firstLine="708"/>
        <w:jc w:val="both"/>
      </w:pPr>
      <w:r w:rsidRPr="00CF0DDC">
        <w:t>La ruta metodológica seguida para el presente estudio fue la siguiente:</w:t>
      </w:r>
    </w:p>
    <w:p w14:paraId="74AD53C4" w14:textId="77777777" w:rsidR="00F816A6" w:rsidRPr="007A1413" w:rsidRDefault="00F816A6" w:rsidP="00F816A6">
      <w:pPr>
        <w:pStyle w:val="Prrafodelista"/>
        <w:numPr>
          <w:ilvl w:val="0"/>
          <w:numId w:val="7"/>
        </w:numPr>
        <w:spacing w:line="360" w:lineRule="auto"/>
        <w:jc w:val="both"/>
        <w:rPr>
          <w:rFonts w:ascii="Times New Roman" w:hAnsi="Times New Roman" w:cs="Times New Roman"/>
        </w:rPr>
      </w:pPr>
      <w:r w:rsidRPr="007A1413">
        <w:rPr>
          <w:rFonts w:ascii="Times New Roman" w:hAnsi="Times New Roman" w:cs="Times New Roman"/>
        </w:rPr>
        <w:t>Diseño: La investigación se llevó a cabo utilizando un enfoque cuantitativo correlacional, de corte transversal y con alcance descriptivo, pero no exploratorio.</w:t>
      </w:r>
    </w:p>
    <w:p w14:paraId="38738D13" w14:textId="77777777" w:rsidR="00F816A6" w:rsidRPr="007A1413" w:rsidRDefault="00F816A6" w:rsidP="00F816A6">
      <w:pPr>
        <w:pStyle w:val="Prrafodelista"/>
        <w:numPr>
          <w:ilvl w:val="0"/>
          <w:numId w:val="7"/>
        </w:numPr>
        <w:spacing w:line="360" w:lineRule="auto"/>
        <w:jc w:val="both"/>
        <w:rPr>
          <w:rFonts w:ascii="Times New Roman" w:hAnsi="Times New Roman" w:cs="Times New Roman"/>
        </w:rPr>
      </w:pPr>
      <w:r w:rsidRPr="007A1413">
        <w:rPr>
          <w:rFonts w:ascii="Times New Roman" w:hAnsi="Times New Roman" w:cs="Times New Roman"/>
        </w:rPr>
        <w:t>Participantes: El panel de expertos estuvo compuesto por 20 individuos, mientras que la prueba piloto se aplicó a una muestra de 58 personas.</w:t>
      </w:r>
    </w:p>
    <w:p w14:paraId="43F7E9F1" w14:textId="77777777" w:rsidR="00F816A6" w:rsidRPr="007A1413" w:rsidRDefault="00F816A6" w:rsidP="00F816A6">
      <w:pPr>
        <w:pStyle w:val="Prrafodelista"/>
        <w:numPr>
          <w:ilvl w:val="0"/>
          <w:numId w:val="7"/>
        </w:numPr>
        <w:spacing w:line="360" w:lineRule="auto"/>
        <w:jc w:val="both"/>
        <w:rPr>
          <w:rFonts w:ascii="Times New Roman" w:hAnsi="Times New Roman" w:cs="Times New Roman"/>
        </w:rPr>
      </w:pPr>
      <w:r w:rsidRPr="007A1413">
        <w:rPr>
          <w:rFonts w:ascii="Times New Roman" w:hAnsi="Times New Roman" w:cs="Times New Roman"/>
        </w:rPr>
        <w:t>Instrumento: Se diseñó el instrumento basándose en los lineamientos de la norma ISO 9001:2015.</w:t>
      </w:r>
    </w:p>
    <w:p w14:paraId="18D6ACCD" w14:textId="33134740" w:rsidR="00F816A6" w:rsidRPr="007A1413" w:rsidRDefault="00F816A6" w:rsidP="00F816A6">
      <w:pPr>
        <w:pStyle w:val="Prrafodelista"/>
        <w:numPr>
          <w:ilvl w:val="0"/>
          <w:numId w:val="7"/>
        </w:numPr>
        <w:spacing w:line="360" w:lineRule="auto"/>
        <w:jc w:val="both"/>
        <w:rPr>
          <w:rFonts w:ascii="Times New Roman" w:hAnsi="Times New Roman" w:cs="Times New Roman"/>
        </w:rPr>
      </w:pPr>
      <w:r w:rsidRPr="007A1413">
        <w:rPr>
          <w:rFonts w:ascii="Times New Roman" w:hAnsi="Times New Roman" w:cs="Times New Roman"/>
        </w:rPr>
        <w:t>Procedimiento: Para validar el contenido del instrumento se sometió a evaluación por parte del panel de expertos, quienes analizaron criterios de claridad, pertinencia y relevancia de los ítems (Álvarez</w:t>
      </w:r>
      <w:r w:rsidR="007377C2" w:rsidRPr="007478FD">
        <w:rPr>
          <w:rFonts w:ascii="Times New Roman" w:hAnsi="Times New Roman" w:cs="Times New Roman"/>
        </w:rPr>
        <w:t>-Ríos</w:t>
      </w:r>
      <w:r w:rsidRPr="007A1413">
        <w:rPr>
          <w:rFonts w:ascii="Times New Roman" w:hAnsi="Times New Roman" w:cs="Times New Roman"/>
        </w:rPr>
        <w:t xml:space="preserve"> </w:t>
      </w:r>
      <w:r w:rsidRPr="007A1413">
        <w:rPr>
          <w:rFonts w:ascii="Times New Roman" w:hAnsi="Times New Roman" w:cs="Times New Roman"/>
          <w:i/>
        </w:rPr>
        <w:t>et al</w:t>
      </w:r>
      <w:r w:rsidRPr="007A1413">
        <w:rPr>
          <w:rFonts w:ascii="Times New Roman" w:hAnsi="Times New Roman" w:cs="Times New Roman"/>
        </w:rPr>
        <w:t>., 2019). Con base en los resultados obtenidos, se realizaron ajustes en los ítems según fuera necesario. Para validar el constructo del instrumento, se aplicó el análisis factorial utilizando la técnica KMO y la prueba de esfericidad de Bartlett (De Clifford</w:t>
      </w:r>
      <w:r w:rsidR="007377C2" w:rsidRPr="007478FD">
        <w:rPr>
          <w:rFonts w:ascii="Times New Roman" w:hAnsi="Times New Roman" w:cs="Times New Roman"/>
          <w:lang w:val="en-US"/>
        </w:rPr>
        <w:t>-Faugère</w:t>
      </w:r>
      <w:r w:rsidRPr="007A1413">
        <w:rPr>
          <w:rFonts w:ascii="Times New Roman" w:hAnsi="Times New Roman" w:cs="Times New Roman"/>
        </w:rPr>
        <w:t xml:space="preserve"> </w:t>
      </w:r>
      <w:r w:rsidRPr="007A1413">
        <w:rPr>
          <w:rFonts w:ascii="Times New Roman" w:hAnsi="Times New Roman" w:cs="Times New Roman"/>
          <w:i/>
        </w:rPr>
        <w:t>et al</w:t>
      </w:r>
      <w:r w:rsidRPr="007A1413">
        <w:rPr>
          <w:rFonts w:ascii="Times New Roman" w:hAnsi="Times New Roman" w:cs="Times New Roman"/>
        </w:rPr>
        <w:t>., 2022). Además, se calculó el coeficiente alfa de Cronbach para analizar la confiabilidad del instrumento (Hernández</w:t>
      </w:r>
      <w:r w:rsidR="007377C2" w:rsidRPr="007478FD">
        <w:rPr>
          <w:rFonts w:ascii="Times New Roman" w:hAnsi="Times New Roman" w:cs="Times New Roman"/>
        </w:rPr>
        <w:t>-Sampieri</w:t>
      </w:r>
      <w:r w:rsidRPr="007A1413">
        <w:rPr>
          <w:rFonts w:ascii="Times New Roman" w:hAnsi="Times New Roman" w:cs="Times New Roman"/>
        </w:rPr>
        <w:t xml:space="preserve"> </w:t>
      </w:r>
      <w:r w:rsidRPr="007A1413">
        <w:rPr>
          <w:rFonts w:ascii="Times New Roman" w:hAnsi="Times New Roman" w:cs="Times New Roman"/>
          <w:i/>
        </w:rPr>
        <w:t>et al</w:t>
      </w:r>
      <w:r w:rsidRPr="007A1413">
        <w:rPr>
          <w:rFonts w:ascii="Times New Roman" w:hAnsi="Times New Roman" w:cs="Times New Roman"/>
        </w:rPr>
        <w:t>., 2014; Supo, 2013). Por otra parte, es importante destacar que validar el contenido, el constructo y la confiabilidad resulta vital para garantizar el rigor científico de un instrumento de medición (Bautista</w:t>
      </w:r>
      <w:r w:rsidR="007377C2" w:rsidRPr="007478FD">
        <w:rPr>
          <w:rFonts w:ascii="Times New Roman" w:hAnsi="Times New Roman" w:cs="Times New Roman"/>
        </w:rPr>
        <w:t>-Díaz</w:t>
      </w:r>
      <w:r w:rsidRPr="007A1413">
        <w:rPr>
          <w:rFonts w:ascii="Times New Roman" w:hAnsi="Times New Roman" w:cs="Times New Roman"/>
        </w:rPr>
        <w:t xml:space="preserve"> </w:t>
      </w:r>
      <w:r w:rsidRPr="007A1413">
        <w:rPr>
          <w:rFonts w:ascii="Times New Roman" w:hAnsi="Times New Roman" w:cs="Times New Roman"/>
          <w:i/>
        </w:rPr>
        <w:t>et al</w:t>
      </w:r>
      <w:r w:rsidRPr="007A1413">
        <w:rPr>
          <w:rFonts w:ascii="Times New Roman" w:hAnsi="Times New Roman" w:cs="Times New Roman"/>
        </w:rPr>
        <w:t>., 2022). Finalmente, se propusieron los componentes resultantes del análisis.</w:t>
      </w:r>
    </w:p>
    <w:p w14:paraId="7EAFFDAD" w14:textId="77777777" w:rsidR="00F816A6" w:rsidRPr="007A1413" w:rsidRDefault="00F816A6" w:rsidP="00F816A6">
      <w:pPr>
        <w:pStyle w:val="Prrafodelista"/>
        <w:numPr>
          <w:ilvl w:val="0"/>
          <w:numId w:val="7"/>
        </w:numPr>
        <w:spacing w:line="360" w:lineRule="auto"/>
        <w:jc w:val="both"/>
        <w:rPr>
          <w:rFonts w:ascii="Times New Roman" w:hAnsi="Times New Roman" w:cs="Times New Roman"/>
        </w:rPr>
      </w:pPr>
      <w:r w:rsidRPr="007A1413">
        <w:rPr>
          <w:rFonts w:ascii="Times New Roman" w:hAnsi="Times New Roman" w:cs="Times New Roman"/>
        </w:rPr>
        <w:lastRenderedPageBreak/>
        <w:t xml:space="preserve">Análisis de datos: Los resultados obtenidos fueron analizados utilizando el </w:t>
      </w:r>
      <w:r w:rsidRPr="007A1413">
        <w:rPr>
          <w:rFonts w:ascii="Times New Roman" w:hAnsi="Times New Roman" w:cs="Times New Roman"/>
          <w:i/>
          <w:iCs/>
        </w:rPr>
        <w:t>software</w:t>
      </w:r>
      <w:r w:rsidRPr="007A1413">
        <w:rPr>
          <w:rFonts w:ascii="Times New Roman" w:hAnsi="Times New Roman" w:cs="Times New Roman"/>
        </w:rPr>
        <w:t xml:space="preserve"> IBM SPSS 25.</w:t>
      </w:r>
    </w:p>
    <w:p w14:paraId="70B4F89F" w14:textId="77777777" w:rsidR="00F816A6" w:rsidRPr="004B4CF7" w:rsidRDefault="00F816A6" w:rsidP="001720E3">
      <w:pPr>
        <w:pStyle w:val="Prrafodelista"/>
        <w:spacing w:line="360" w:lineRule="auto"/>
        <w:ind w:left="714"/>
        <w:contextualSpacing w:val="0"/>
        <w:jc w:val="both"/>
        <w:rPr>
          <w:rFonts w:ascii="Times New Roman" w:hAnsi="Times New Roman" w:cs="Times New Roman"/>
          <w:lang w:val="es-ES"/>
        </w:rPr>
      </w:pPr>
    </w:p>
    <w:p w14:paraId="110CD29E" w14:textId="77777777" w:rsidR="0037214A" w:rsidRPr="001720E3" w:rsidRDefault="0037214A" w:rsidP="001720E3">
      <w:pPr>
        <w:spacing w:line="360" w:lineRule="auto"/>
        <w:jc w:val="center"/>
        <w:rPr>
          <w:b/>
          <w:sz w:val="28"/>
          <w:szCs w:val="28"/>
          <w:lang w:val="es-ES"/>
        </w:rPr>
      </w:pPr>
      <w:r w:rsidRPr="001720E3">
        <w:rPr>
          <w:b/>
          <w:sz w:val="28"/>
          <w:szCs w:val="28"/>
          <w:lang w:val="es-ES"/>
        </w:rPr>
        <w:t>Procedimiento</w:t>
      </w:r>
    </w:p>
    <w:p w14:paraId="2E40168B" w14:textId="77777777" w:rsidR="00752F32" w:rsidRPr="00CF0DDC" w:rsidRDefault="00752F32" w:rsidP="00752F32">
      <w:pPr>
        <w:spacing w:line="360" w:lineRule="auto"/>
        <w:ind w:firstLine="708"/>
        <w:jc w:val="both"/>
      </w:pPr>
      <w:r w:rsidRPr="00CF0DDC">
        <w:t>El instrumento se construyó siguiendo la norma ISO 9001:2015</w:t>
      </w:r>
      <w:r>
        <w:t>, la cual p</w:t>
      </w:r>
      <w:r w:rsidRPr="00CF0DDC">
        <w:t xml:space="preserve">ropone cuatro dimensiones para la variable </w:t>
      </w:r>
      <w:r w:rsidRPr="003D641D">
        <w:rPr>
          <w:i/>
          <w:iCs/>
        </w:rPr>
        <w:t>infraestructura</w:t>
      </w:r>
      <w:r w:rsidRPr="00CF0DDC">
        <w:t xml:space="preserve">, según se muestra en la </w:t>
      </w:r>
      <w:r>
        <w:t>t</w:t>
      </w:r>
      <w:r w:rsidRPr="00CF0DDC">
        <w:t>abla 1 del capítulo de apoyo. Inicialmente, el número de ítems fue de 43.</w:t>
      </w:r>
    </w:p>
    <w:p w14:paraId="6BADA344" w14:textId="77777777" w:rsidR="00752F32" w:rsidRPr="00CF0DDC" w:rsidRDefault="00752F32" w:rsidP="00752F32">
      <w:pPr>
        <w:spacing w:line="360" w:lineRule="auto"/>
        <w:jc w:val="both"/>
      </w:pPr>
    </w:p>
    <w:p w14:paraId="7F5D608F" w14:textId="77777777" w:rsidR="00752F32" w:rsidRPr="00CF0DDC" w:rsidRDefault="00752F32" w:rsidP="00752F32">
      <w:pPr>
        <w:spacing w:before="160" w:line="360" w:lineRule="auto"/>
        <w:jc w:val="center"/>
        <w:rPr>
          <w:lang w:val="en-US"/>
        </w:rPr>
      </w:pPr>
      <w:r w:rsidRPr="00CF0DDC">
        <w:rPr>
          <w:b/>
        </w:rPr>
        <w:t>Tabla</w:t>
      </w:r>
      <w:r w:rsidRPr="00CF0DDC">
        <w:rPr>
          <w:b/>
          <w:lang w:val="en-US"/>
        </w:rPr>
        <w:t xml:space="preserve"> 1.</w:t>
      </w:r>
      <w:r w:rsidRPr="00CF0DDC">
        <w:rPr>
          <w:lang w:val="en-US"/>
        </w:rPr>
        <w:t xml:space="preserve"> Operacionalización de variable</w:t>
      </w:r>
    </w:p>
    <w:tbl>
      <w:tblPr>
        <w:tblStyle w:val="Tablaconcuadrcula"/>
        <w:tblW w:w="4925" w:type="pct"/>
        <w:tblLayout w:type="fixed"/>
        <w:tblLook w:val="04A0" w:firstRow="1" w:lastRow="0" w:firstColumn="1" w:lastColumn="0" w:noHBand="0" w:noVBand="1"/>
      </w:tblPr>
      <w:tblGrid>
        <w:gridCol w:w="1421"/>
        <w:gridCol w:w="1140"/>
        <w:gridCol w:w="1281"/>
        <w:gridCol w:w="4699"/>
        <w:gridCol w:w="712"/>
      </w:tblGrid>
      <w:tr w:rsidR="00752F32" w:rsidRPr="001720E3" w14:paraId="04FDA26D" w14:textId="77777777" w:rsidTr="00DE7C76">
        <w:trPr>
          <w:trHeight w:val="283"/>
          <w:tblHeader/>
        </w:trPr>
        <w:tc>
          <w:tcPr>
            <w:tcW w:w="768" w:type="pct"/>
            <w:vAlign w:val="center"/>
          </w:tcPr>
          <w:p w14:paraId="3C4E4DB4" w14:textId="77777777" w:rsidR="00752F32" w:rsidRPr="001720E3" w:rsidRDefault="00752F32" w:rsidP="00DE7C76">
            <w:pPr>
              <w:spacing w:line="360" w:lineRule="auto"/>
              <w:jc w:val="both"/>
            </w:pPr>
            <w:r w:rsidRPr="001720E3">
              <w:t>Variable</w:t>
            </w:r>
          </w:p>
        </w:tc>
        <w:tc>
          <w:tcPr>
            <w:tcW w:w="616" w:type="pct"/>
            <w:vAlign w:val="center"/>
          </w:tcPr>
          <w:p w14:paraId="2307C0B1" w14:textId="77777777" w:rsidR="00752F32" w:rsidRPr="001720E3" w:rsidRDefault="00752F32" w:rsidP="00DE7C76">
            <w:pPr>
              <w:spacing w:line="360" w:lineRule="auto"/>
              <w:jc w:val="both"/>
            </w:pPr>
            <w:r w:rsidRPr="001720E3">
              <w:t>Dimensión</w:t>
            </w:r>
          </w:p>
        </w:tc>
        <w:tc>
          <w:tcPr>
            <w:tcW w:w="692" w:type="pct"/>
            <w:vAlign w:val="center"/>
          </w:tcPr>
          <w:p w14:paraId="7B781905" w14:textId="77777777" w:rsidR="00752F32" w:rsidRPr="001720E3" w:rsidRDefault="00752F32" w:rsidP="00DE7C76">
            <w:pPr>
              <w:spacing w:line="360" w:lineRule="auto"/>
              <w:jc w:val="both"/>
            </w:pPr>
            <w:r w:rsidRPr="001720E3">
              <w:t>Factor</w:t>
            </w:r>
          </w:p>
        </w:tc>
        <w:tc>
          <w:tcPr>
            <w:tcW w:w="2539" w:type="pct"/>
            <w:vAlign w:val="center"/>
          </w:tcPr>
          <w:p w14:paraId="4964C309" w14:textId="77777777" w:rsidR="00752F32" w:rsidRPr="001720E3" w:rsidRDefault="00752F32" w:rsidP="00DE7C76">
            <w:pPr>
              <w:spacing w:line="360" w:lineRule="auto"/>
              <w:jc w:val="both"/>
            </w:pPr>
          </w:p>
          <w:p w14:paraId="399B119A" w14:textId="77777777" w:rsidR="00752F32" w:rsidRPr="001720E3" w:rsidRDefault="00752F32" w:rsidP="00DE7C76">
            <w:pPr>
              <w:spacing w:line="360" w:lineRule="auto"/>
              <w:jc w:val="both"/>
            </w:pPr>
            <w:r w:rsidRPr="001720E3">
              <w:t>Definición</w:t>
            </w:r>
          </w:p>
          <w:p w14:paraId="0CFF18EA" w14:textId="77777777" w:rsidR="00752F32" w:rsidRPr="001720E3" w:rsidRDefault="00752F32" w:rsidP="00DE7C76">
            <w:pPr>
              <w:spacing w:line="360" w:lineRule="auto"/>
              <w:jc w:val="both"/>
            </w:pPr>
          </w:p>
        </w:tc>
        <w:tc>
          <w:tcPr>
            <w:tcW w:w="385" w:type="pct"/>
            <w:vAlign w:val="center"/>
          </w:tcPr>
          <w:p w14:paraId="316B85ED" w14:textId="77777777" w:rsidR="00752F32" w:rsidRPr="001720E3" w:rsidRDefault="00752F32" w:rsidP="00DE7C76">
            <w:pPr>
              <w:spacing w:line="360" w:lineRule="auto"/>
              <w:jc w:val="both"/>
            </w:pPr>
            <w:r w:rsidRPr="001720E3">
              <w:t>ítems</w:t>
            </w:r>
          </w:p>
        </w:tc>
      </w:tr>
      <w:tr w:rsidR="00752F32" w:rsidRPr="001720E3" w14:paraId="1EE2C3E4" w14:textId="77777777" w:rsidTr="00DE7C76">
        <w:tc>
          <w:tcPr>
            <w:tcW w:w="768" w:type="pct"/>
            <w:vMerge w:val="restart"/>
            <w:vAlign w:val="center"/>
          </w:tcPr>
          <w:p w14:paraId="114CF476" w14:textId="77777777" w:rsidR="00752F32" w:rsidRPr="001720E3" w:rsidRDefault="00752F32" w:rsidP="00DE7C76">
            <w:pPr>
              <w:spacing w:line="360" w:lineRule="auto"/>
              <w:jc w:val="both"/>
            </w:pPr>
            <w:r w:rsidRPr="001720E3">
              <w:t>Infraestructura</w:t>
            </w:r>
          </w:p>
        </w:tc>
        <w:tc>
          <w:tcPr>
            <w:tcW w:w="616" w:type="pct"/>
            <w:vMerge w:val="restart"/>
            <w:vAlign w:val="center"/>
          </w:tcPr>
          <w:p w14:paraId="504B0392" w14:textId="77777777" w:rsidR="00752F32" w:rsidRPr="001720E3" w:rsidRDefault="00752F32" w:rsidP="00DE7C76">
            <w:pPr>
              <w:spacing w:line="360" w:lineRule="auto"/>
              <w:jc w:val="both"/>
            </w:pPr>
            <w:r w:rsidRPr="001720E3">
              <w:t>Edificios y servicios asociados</w:t>
            </w:r>
          </w:p>
        </w:tc>
        <w:tc>
          <w:tcPr>
            <w:tcW w:w="692" w:type="pct"/>
            <w:vAlign w:val="center"/>
          </w:tcPr>
          <w:p w14:paraId="68D4D46C" w14:textId="77777777" w:rsidR="00752F32" w:rsidRPr="001720E3" w:rsidRDefault="00752F32" w:rsidP="00DE7C76">
            <w:pPr>
              <w:spacing w:line="360" w:lineRule="auto"/>
              <w:jc w:val="both"/>
            </w:pPr>
            <w:r w:rsidRPr="001720E3">
              <w:t>Oficinas</w:t>
            </w:r>
          </w:p>
        </w:tc>
        <w:tc>
          <w:tcPr>
            <w:tcW w:w="2539" w:type="pct"/>
          </w:tcPr>
          <w:p w14:paraId="47E63203" w14:textId="77777777" w:rsidR="00752F32" w:rsidRPr="001720E3" w:rsidRDefault="00752F32" w:rsidP="00DE7C76">
            <w:pPr>
              <w:spacing w:line="360" w:lineRule="auto"/>
              <w:jc w:val="both"/>
            </w:pPr>
            <w:r w:rsidRPr="001720E3">
              <w:t>Área de trabajo común donde los miembros autorizados del proyecto y colegas pueden compartir documentos, publicaciones, modelos, calendarios, hojas de cálculo, fotografías y cualquier forma de información para mantenerse al corriente acerca del estado de los proyectos o de temas de interés común (Stair y Reynolds, 2010).</w:t>
            </w:r>
          </w:p>
        </w:tc>
        <w:tc>
          <w:tcPr>
            <w:tcW w:w="385" w:type="pct"/>
            <w:vAlign w:val="center"/>
          </w:tcPr>
          <w:p w14:paraId="651983D1" w14:textId="77777777" w:rsidR="00752F32" w:rsidRPr="001720E3" w:rsidRDefault="00752F32" w:rsidP="00DE7C76">
            <w:pPr>
              <w:spacing w:line="360" w:lineRule="auto"/>
              <w:jc w:val="both"/>
            </w:pPr>
            <w:r w:rsidRPr="001720E3">
              <w:t>I1, I2, I3</w:t>
            </w:r>
          </w:p>
        </w:tc>
      </w:tr>
      <w:tr w:rsidR="00752F32" w:rsidRPr="001720E3" w14:paraId="0C023DA2" w14:textId="77777777" w:rsidTr="00DE7C76">
        <w:tc>
          <w:tcPr>
            <w:tcW w:w="768" w:type="pct"/>
            <w:vMerge/>
          </w:tcPr>
          <w:p w14:paraId="7C81C8EF" w14:textId="77777777" w:rsidR="00752F32" w:rsidRPr="001720E3" w:rsidRDefault="00752F32" w:rsidP="00DE7C76">
            <w:pPr>
              <w:spacing w:line="360" w:lineRule="auto"/>
              <w:jc w:val="both"/>
            </w:pPr>
          </w:p>
        </w:tc>
        <w:tc>
          <w:tcPr>
            <w:tcW w:w="616" w:type="pct"/>
            <w:vMerge/>
          </w:tcPr>
          <w:p w14:paraId="1A066121" w14:textId="77777777" w:rsidR="00752F32" w:rsidRPr="001720E3" w:rsidRDefault="00752F32" w:rsidP="00DE7C76">
            <w:pPr>
              <w:spacing w:line="360" w:lineRule="auto"/>
              <w:jc w:val="both"/>
            </w:pPr>
          </w:p>
        </w:tc>
        <w:tc>
          <w:tcPr>
            <w:tcW w:w="692" w:type="pct"/>
            <w:vAlign w:val="center"/>
          </w:tcPr>
          <w:p w14:paraId="01C8DC79" w14:textId="77777777" w:rsidR="00752F32" w:rsidRPr="001720E3" w:rsidRDefault="00752F32" w:rsidP="00DE7C76">
            <w:pPr>
              <w:spacing w:line="360" w:lineRule="auto"/>
              <w:jc w:val="both"/>
            </w:pPr>
            <w:r w:rsidRPr="001720E3">
              <w:t>Internet</w:t>
            </w:r>
          </w:p>
        </w:tc>
        <w:tc>
          <w:tcPr>
            <w:tcW w:w="2539" w:type="pct"/>
          </w:tcPr>
          <w:p w14:paraId="11BECB40" w14:textId="77777777" w:rsidR="00752F32" w:rsidRPr="001720E3" w:rsidRDefault="00752F32" w:rsidP="00DE7C76">
            <w:pPr>
              <w:spacing w:line="360" w:lineRule="auto"/>
              <w:jc w:val="both"/>
            </w:pPr>
            <w:r w:rsidRPr="001720E3">
              <w:t>Un conjunto de redes interconectadas que intercambian</w:t>
            </w:r>
          </w:p>
          <w:p w14:paraId="5F88200E" w14:textId="77777777" w:rsidR="00752F32" w:rsidRPr="001720E3" w:rsidRDefault="00752F32" w:rsidP="00DE7C76">
            <w:pPr>
              <w:spacing w:line="360" w:lineRule="auto"/>
              <w:jc w:val="both"/>
            </w:pPr>
            <w:r w:rsidRPr="001720E3">
              <w:t>información libremente (Stair y Reynolds, 2010).</w:t>
            </w:r>
          </w:p>
        </w:tc>
        <w:tc>
          <w:tcPr>
            <w:tcW w:w="385" w:type="pct"/>
            <w:vAlign w:val="center"/>
          </w:tcPr>
          <w:p w14:paraId="0442A6B6" w14:textId="77777777" w:rsidR="00752F32" w:rsidRPr="001720E3" w:rsidRDefault="00752F32" w:rsidP="00DE7C76">
            <w:pPr>
              <w:spacing w:line="360" w:lineRule="auto"/>
              <w:jc w:val="both"/>
            </w:pPr>
            <w:r w:rsidRPr="001720E3">
              <w:t>I4</w:t>
            </w:r>
          </w:p>
        </w:tc>
      </w:tr>
      <w:tr w:rsidR="00752F32" w:rsidRPr="001720E3" w14:paraId="1267B18D" w14:textId="77777777" w:rsidTr="00DE7C76">
        <w:tc>
          <w:tcPr>
            <w:tcW w:w="768" w:type="pct"/>
            <w:vMerge/>
          </w:tcPr>
          <w:p w14:paraId="4D031517" w14:textId="77777777" w:rsidR="00752F32" w:rsidRPr="001720E3" w:rsidRDefault="00752F32" w:rsidP="00DE7C76">
            <w:pPr>
              <w:spacing w:line="360" w:lineRule="auto"/>
              <w:jc w:val="both"/>
            </w:pPr>
          </w:p>
        </w:tc>
        <w:tc>
          <w:tcPr>
            <w:tcW w:w="616" w:type="pct"/>
            <w:vMerge/>
          </w:tcPr>
          <w:p w14:paraId="0A4CF7C3" w14:textId="77777777" w:rsidR="00752F32" w:rsidRPr="001720E3" w:rsidRDefault="00752F32" w:rsidP="00DE7C76">
            <w:pPr>
              <w:spacing w:line="360" w:lineRule="auto"/>
              <w:jc w:val="both"/>
            </w:pPr>
          </w:p>
        </w:tc>
        <w:tc>
          <w:tcPr>
            <w:tcW w:w="692" w:type="pct"/>
            <w:vAlign w:val="center"/>
          </w:tcPr>
          <w:p w14:paraId="45C9B69A" w14:textId="77777777" w:rsidR="00752F32" w:rsidRPr="001720E3" w:rsidRDefault="00752F32" w:rsidP="00DE7C76">
            <w:pPr>
              <w:spacing w:line="360" w:lineRule="auto"/>
              <w:jc w:val="both"/>
            </w:pPr>
            <w:r w:rsidRPr="001720E3">
              <w:t>Red</w:t>
            </w:r>
          </w:p>
        </w:tc>
        <w:tc>
          <w:tcPr>
            <w:tcW w:w="2539" w:type="pct"/>
          </w:tcPr>
          <w:p w14:paraId="666F05B7" w14:textId="77777777" w:rsidR="00752F32" w:rsidRPr="001720E3" w:rsidRDefault="00752F32" w:rsidP="00DE7C76">
            <w:pPr>
              <w:spacing w:line="360" w:lineRule="auto"/>
              <w:jc w:val="both"/>
            </w:pPr>
            <w:r w:rsidRPr="001720E3">
              <w:t>Computadoras y equipo que se conectan en un edificio, en un país o alrededor del mundo para permitir las comunicaciones electrónicas (Stair y Reynolds, 2010).</w:t>
            </w:r>
          </w:p>
        </w:tc>
        <w:tc>
          <w:tcPr>
            <w:tcW w:w="385" w:type="pct"/>
            <w:vAlign w:val="center"/>
          </w:tcPr>
          <w:p w14:paraId="4C3B1A2B" w14:textId="77777777" w:rsidR="00752F32" w:rsidRPr="001720E3" w:rsidRDefault="00752F32" w:rsidP="00DE7C76">
            <w:pPr>
              <w:spacing w:line="360" w:lineRule="auto"/>
              <w:jc w:val="both"/>
            </w:pPr>
            <w:r w:rsidRPr="001720E3">
              <w:t>I5</w:t>
            </w:r>
          </w:p>
        </w:tc>
      </w:tr>
      <w:tr w:rsidR="00752F32" w:rsidRPr="001720E3" w14:paraId="464F1036" w14:textId="77777777" w:rsidTr="00DE7C76">
        <w:tc>
          <w:tcPr>
            <w:tcW w:w="768" w:type="pct"/>
            <w:vMerge/>
          </w:tcPr>
          <w:p w14:paraId="2F131E1A" w14:textId="77777777" w:rsidR="00752F32" w:rsidRPr="001720E3" w:rsidRDefault="00752F32" w:rsidP="00DE7C76">
            <w:pPr>
              <w:spacing w:line="360" w:lineRule="auto"/>
              <w:jc w:val="both"/>
            </w:pPr>
          </w:p>
        </w:tc>
        <w:tc>
          <w:tcPr>
            <w:tcW w:w="616" w:type="pct"/>
            <w:vMerge/>
          </w:tcPr>
          <w:p w14:paraId="0B76A7E9" w14:textId="77777777" w:rsidR="00752F32" w:rsidRPr="001720E3" w:rsidRDefault="00752F32" w:rsidP="00DE7C76">
            <w:pPr>
              <w:spacing w:line="360" w:lineRule="auto"/>
              <w:jc w:val="both"/>
            </w:pPr>
          </w:p>
        </w:tc>
        <w:tc>
          <w:tcPr>
            <w:tcW w:w="692" w:type="pct"/>
            <w:vAlign w:val="center"/>
          </w:tcPr>
          <w:p w14:paraId="62144EAA" w14:textId="77777777" w:rsidR="00752F32" w:rsidRPr="001720E3" w:rsidRDefault="00752F32" w:rsidP="00DE7C76">
            <w:pPr>
              <w:spacing w:line="360" w:lineRule="auto"/>
              <w:jc w:val="both"/>
            </w:pPr>
            <w:r w:rsidRPr="001720E3">
              <w:t>Ciberseguridad</w:t>
            </w:r>
          </w:p>
        </w:tc>
        <w:tc>
          <w:tcPr>
            <w:tcW w:w="2539" w:type="pct"/>
          </w:tcPr>
          <w:p w14:paraId="401AB25D" w14:textId="77777777" w:rsidR="00752F32" w:rsidRPr="001720E3" w:rsidRDefault="00752F32" w:rsidP="00DE7C76">
            <w:pPr>
              <w:spacing w:line="360" w:lineRule="auto"/>
              <w:jc w:val="both"/>
            </w:pPr>
            <w:r w:rsidRPr="001720E3">
              <w:t xml:space="preserve">Disponibilidad es la propiedad de ser accesible y utilizable bajo demanda por una entidad autorizada. Confidencialidad es la propiedad de que la información no sea disponible o rebelada a individuos, entidades o procesos no </w:t>
            </w:r>
            <w:r w:rsidRPr="001720E3">
              <w:lastRenderedPageBreak/>
              <w:t>autorizados, mientras que la integridad es la propiedad de salvaguardar la precisión y totalidad de los activos (</w:t>
            </w:r>
            <w:r w:rsidRPr="001720E3">
              <w:rPr>
                <w:lang w:val="en-US"/>
              </w:rPr>
              <w:t>International Organization for Standardization</w:t>
            </w:r>
            <w:r w:rsidRPr="001720E3">
              <w:t xml:space="preserve"> [ISO 27000], 2018).</w:t>
            </w:r>
          </w:p>
        </w:tc>
        <w:tc>
          <w:tcPr>
            <w:tcW w:w="385" w:type="pct"/>
            <w:vAlign w:val="center"/>
          </w:tcPr>
          <w:p w14:paraId="5B39751F" w14:textId="77777777" w:rsidR="00752F32" w:rsidRPr="001720E3" w:rsidRDefault="00752F32" w:rsidP="00DE7C76">
            <w:pPr>
              <w:spacing w:line="360" w:lineRule="auto"/>
              <w:jc w:val="both"/>
            </w:pPr>
            <w:r w:rsidRPr="001720E3">
              <w:lastRenderedPageBreak/>
              <w:t>I6, I7, I8</w:t>
            </w:r>
          </w:p>
        </w:tc>
      </w:tr>
      <w:tr w:rsidR="00752F32" w:rsidRPr="001720E3" w14:paraId="5D8E9A61" w14:textId="77777777" w:rsidTr="00DE7C76">
        <w:tc>
          <w:tcPr>
            <w:tcW w:w="768" w:type="pct"/>
            <w:vMerge/>
          </w:tcPr>
          <w:p w14:paraId="622DBB4F" w14:textId="77777777" w:rsidR="00752F32" w:rsidRPr="001720E3" w:rsidRDefault="00752F32" w:rsidP="00DE7C76">
            <w:pPr>
              <w:spacing w:line="360" w:lineRule="auto"/>
              <w:jc w:val="both"/>
            </w:pPr>
          </w:p>
        </w:tc>
        <w:tc>
          <w:tcPr>
            <w:tcW w:w="616" w:type="pct"/>
            <w:vMerge/>
          </w:tcPr>
          <w:p w14:paraId="0F77C1C9" w14:textId="77777777" w:rsidR="00752F32" w:rsidRPr="001720E3" w:rsidRDefault="00752F32" w:rsidP="00DE7C76">
            <w:pPr>
              <w:spacing w:line="360" w:lineRule="auto"/>
              <w:jc w:val="both"/>
            </w:pPr>
          </w:p>
        </w:tc>
        <w:tc>
          <w:tcPr>
            <w:tcW w:w="692" w:type="pct"/>
            <w:vAlign w:val="center"/>
          </w:tcPr>
          <w:p w14:paraId="0051E7B5" w14:textId="77777777" w:rsidR="00752F32" w:rsidRPr="001720E3" w:rsidRDefault="00752F32" w:rsidP="00DE7C76">
            <w:pPr>
              <w:spacing w:line="360" w:lineRule="auto"/>
              <w:jc w:val="both"/>
            </w:pPr>
            <w:r w:rsidRPr="001720E3">
              <w:t>Telefonía de internet o conmutador telefónico (PBX)</w:t>
            </w:r>
          </w:p>
        </w:tc>
        <w:tc>
          <w:tcPr>
            <w:tcW w:w="2539" w:type="pct"/>
          </w:tcPr>
          <w:p w14:paraId="6132BA42" w14:textId="77777777" w:rsidR="00752F32" w:rsidRPr="001720E3" w:rsidRDefault="00752F32" w:rsidP="00DE7C76">
            <w:pPr>
              <w:spacing w:line="360" w:lineRule="auto"/>
              <w:jc w:val="both"/>
            </w:pPr>
            <w:r w:rsidRPr="001720E3">
              <w:t>Tecnologías que utilizan las conexiones de paquetes conmutados del protocolo de internet para el servicio de voz (Laudon y Laudon, 2012).</w:t>
            </w:r>
          </w:p>
        </w:tc>
        <w:tc>
          <w:tcPr>
            <w:tcW w:w="385" w:type="pct"/>
            <w:vAlign w:val="center"/>
          </w:tcPr>
          <w:p w14:paraId="722055F5" w14:textId="77777777" w:rsidR="00752F32" w:rsidRPr="001720E3" w:rsidRDefault="00752F32" w:rsidP="00DE7C76">
            <w:pPr>
              <w:spacing w:line="360" w:lineRule="auto"/>
              <w:jc w:val="both"/>
            </w:pPr>
            <w:r w:rsidRPr="001720E3">
              <w:t>I9</w:t>
            </w:r>
          </w:p>
        </w:tc>
      </w:tr>
      <w:tr w:rsidR="00752F32" w:rsidRPr="001720E3" w14:paraId="6B4DB9E6" w14:textId="77777777" w:rsidTr="00DE7C76">
        <w:tc>
          <w:tcPr>
            <w:tcW w:w="768" w:type="pct"/>
            <w:vMerge/>
          </w:tcPr>
          <w:p w14:paraId="42C5572D" w14:textId="77777777" w:rsidR="00752F32" w:rsidRPr="001720E3" w:rsidRDefault="00752F32" w:rsidP="00DE7C76">
            <w:pPr>
              <w:spacing w:line="360" w:lineRule="auto"/>
              <w:jc w:val="both"/>
            </w:pPr>
          </w:p>
        </w:tc>
        <w:tc>
          <w:tcPr>
            <w:tcW w:w="616" w:type="pct"/>
            <w:vMerge w:val="restart"/>
            <w:vAlign w:val="center"/>
          </w:tcPr>
          <w:p w14:paraId="27AE2E51" w14:textId="77777777" w:rsidR="00752F32" w:rsidRPr="001720E3" w:rsidRDefault="00752F32" w:rsidP="00DE7C76">
            <w:pPr>
              <w:spacing w:line="360" w:lineRule="auto"/>
              <w:jc w:val="both"/>
            </w:pPr>
            <w:r w:rsidRPr="001720E3">
              <w:t>Equipos, incluyendo hardware y software</w:t>
            </w:r>
          </w:p>
        </w:tc>
        <w:tc>
          <w:tcPr>
            <w:tcW w:w="692" w:type="pct"/>
            <w:vAlign w:val="center"/>
          </w:tcPr>
          <w:p w14:paraId="6033B284" w14:textId="77777777" w:rsidR="00752F32" w:rsidRPr="001720E3" w:rsidRDefault="00752F32" w:rsidP="00DE7C76">
            <w:pPr>
              <w:spacing w:line="360" w:lineRule="auto"/>
              <w:jc w:val="both"/>
            </w:pPr>
            <w:r w:rsidRPr="001720E3">
              <w:t>Equipo de cómputo (</w:t>
            </w:r>
            <w:r w:rsidRPr="001720E3">
              <w:rPr>
                <w:i/>
              </w:rPr>
              <w:t>hardware</w:t>
            </w:r>
            <w:r w:rsidRPr="001720E3">
              <w:t>)</w:t>
            </w:r>
          </w:p>
        </w:tc>
        <w:tc>
          <w:tcPr>
            <w:tcW w:w="2539" w:type="pct"/>
          </w:tcPr>
          <w:p w14:paraId="3A544AAB" w14:textId="77777777" w:rsidR="00752F32" w:rsidRPr="001720E3" w:rsidRDefault="00752F32" w:rsidP="00DE7C76">
            <w:pPr>
              <w:spacing w:line="360" w:lineRule="auto"/>
              <w:jc w:val="both"/>
            </w:pPr>
            <w:r w:rsidRPr="001720E3">
              <w:t>Computadora de un solo usuario, relativamente pequeña, barata y enormemente versátil, o equipo de un solo usuario que brinda facilidad de portabilidad debido a su pequeño tamaño (Stair y Reynolds, 2010)</w:t>
            </w:r>
          </w:p>
        </w:tc>
        <w:tc>
          <w:tcPr>
            <w:tcW w:w="385" w:type="pct"/>
            <w:vAlign w:val="center"/>
          </w:tcPr>
          <w:p w14:paraId="4EC15E5B" w14:textId="77777777" w:rsidR="00752F32" w:rsidRPr="001720E3" w:rsidRDefault="00752F32" w:rsidP="00DE7C76">
            <w:pPr>
              <w:spacing w:line="360" w:lineRule="auto"/>
              <w:jc w:val="both"/>
            </w:pPr>
            <w:r w:rsidRPr="001720E3">
              <w:t>I10, I11</w:t>
            </w:r>
          </w:p>
        </w:tc>
      </w:tr>
      <w:tr w:rsidR="00752F32" w:rsidRPr="001720E3" w14:paraId="44C4177E" w14:textId="77777777" w:rsidTr="00DE7C76">
        <w:tc>
          <w:tcPr>
            <w:tcW w:w="768" w:type="pct"/>
            <w:vMerge/>
          </w:tcPr>
          <w:p w14:paraId="1FE19B87" w14:textId="77777777" w:rsidR="00752F32" w:rsidRPr="001720E3" w:rsidRDefault="00752F32" w:rsidP="00DE7C76">
            <w:pPr>
              <w:spacing w:line="360" w:lineRule="auto"/>
              <w:jc w:val="both"/>
            </w:pPr>
          </w:p>
        </w:tc>
        <w:tc>
          <w:tcPr>
            <w:tcW w:w="616" w:type="pct"/>
            <w:vMerge/>
          </w:tcPr>
          <w:p w14:paraId="2D183DF8" w14:textId="77777777" w:rsidR="00752F32" w:rsidRPr="001720E3" w:rsidRDefault="00752F32" w:rsidP="00DE7C76">
            <w:pPr>
              <w:spacing w:line="360" w:lineRule="auto"/>
              <w:jc w:val="both"/>
            </w:pPr>
          </w:p>
        </w:tc>
        <w:tc>
          <w:tcPr>
            <w:tcW w:w="692" w:type="pct"/>
            <w:vAlign w:val="center"/>
          </w:tcPr>
          <w:p w14:paraId="160E2837" w14:textId="77777777" w:rsidR="00752F32" w:rsidRPr="001720E3" w:rsidRDefault="00752F32" w:rsidP="00DE7C76">
            <w:pPr>
              <w:spacing w:line="360" w:lineRule="auto"/>
              <w:jc w:val="both"/>
            </w:pPr>
            <w:r w:rsidRPr="001720E3">
              <w:t>Mobiliario de oficina</w:t>
            </w:r>
          </w:p>
        </w:tc>
        <w:tc>
          <w:tcPr>
            <w:tcW w:w="2539" w:type="pct"/>
          </w:tcPr>
          <w:p w14:paraId="382986A5" w14:textId="3FC81D1F" w:rsidR="00752F32" w:rsidRPr="001720E3" w:rsidRDefault="00752F32" w:rsidP="00DE7C76">
            <w:pPr>
              <w:spacing w:line="360" w:lineRule="auto"/>
              <w:jc w:val="both"/>
            </w:pPr>
            <w:r w:rsidRPr="001720E3">
              <w:t>Se considera mobiliario y equipo a los escritorios, las sillas, las mesas, los libreros, etc. (Lara</w:t>
            </w:r>
            <w:r w:rsidR="007377C2" w:rsidRPr="001720E3">
              <w:t>-Flores</w:t>
            </w:r>
            <w:r w:rsidRPr="001720E3">
              <w:t>, 1999).</w:t>
            </w:r>
          </w:p>
        </w:tc>
        <w:tc>
          <w:tcPr>
            <w:tcW w:w="385" w:type="pct"/>
            <w:vAlign w:val="center"/>
          </w:tcPr>
          <w:p w14:paraId="2C1F386A" w14:textId="77777777" w:rsidR="00752F32" w:rsidRPr="001720E3" w:rsidRDefault="00752F32" w:rsidP="00DE7C76">
            <w:pPr>
              <w:spacing w:line="360" w:lineRule="auto"/>
              <w:jc w:val="both"/>
            </w:pPr>
            <w:r w:rsidRPr="001720E3">
              <w:t>I12, 113</w:t>
            </w:r>
          </w:p>
        </w:tc>
      </w:tr>
      <w:tr w:rsidR="00752F32" w:rsidRPr="001720E3" w14:paraId="6325DB6C" w14:textId="77777777" w:rsidTr="00DE7C76">
        <w:tc>
          <w:tcPr>
            <w:tcW w:w="768" w:type="pct"/>
            <w:vMerge/>
          </w:tcPr>
          <w:p w14:paraId="31C62693" w14:textId="77777777" w:rsidR="00752F32" w:rsidRPr="001720E3" w:rsidRDefault="00752F32" w:rsidP="00DE7C76">
            <w:pPr>
              <w:spacing w:line="360" w:lineRule="auto"/>
              <w:jc w:val="both"/>
            </w:pPr>
          </w:p>
        </w:tc>
        <w:tc>
          <w:tcPr>
            <w:tcW w:w="616" w:type="pct"/>
            <w:vMerge/>
          </w:tcPr>
          <w:p w14:paraId="19C29B2A" w14:textId="77777777" w:rsidR="00752F32" w:rsidRPr="001720E3" w:rsidRDefault="00752F32" w:rsidP="00DE7C76">
            <w:pPr>
              <w:spacing w:line="360" w:lineRule="auto"/>
              <w:jc w:val="both"/>
            </w:pPr>
          </w:p>
        </w:tc>
        <w:tc>
          <w:tcPr>
            <w:tcW w:w="692" w:type="pct"/>
            <w:vAlign w:val="center"/>
          </w:tcPr>
          <w:p w14:paraId="59C751DA" w14:textId="77777777" w:rsidR="00752F32" w:rsidRPr="001720E3" w:rsidRDefault="00752F32" w:rsidP="00DE7C76">
            <w:pPr>
              <w:spacing w:line="360" w:lineRule="auto"/>
              <w:jc w:val="both"/>
            </w:pPr>
            <w:r w:rsidRPr="001720E3">
              <w:t>Equipo de ventilación (aire acondicionado)</w:t>
            </w:r>
          </w:p>
        </w:tc>
        <w:tc>
          <w:tcPr>
            <w:tcW w:w="2539" w:type="pct"/>
          </w:tcPr>
          <w:p w14:paraId="4E9C0FDB" w14:textId="77777777" w:rsidR="00752F32" w:rsidRPr="001720E3" w:rsidRDefault="00752F32" w:rsidP="00DE7C76">
            <w:pPr>
              <w:autoSpaceDE w:val="0"/>
              <w:autoSpaceDN w:val="0"/>
              <w:adjustRightInd w:val="0"/>
              <w:spacing w:line="360" w:lineRule="auto"/>
              <w:jc w:val="both"/>
            </w:pPr>
            <w:r w:rsidRPr="001720E3">
              <w:t>Para locales de los centros de trabajo, tales como oficinas, […], en los que se disponga de ventilación artificial para confort de los trabajadores o por requerimientos de la actividad en el centro de trabajo (NOM-001, 2008).</w:t>
            </w:r>
          </w:p>
        </w:tc>
        <w:tc>
          <w:tcPr>
            <w:tcW w:w="385" w:type="pct"/>
            <w:vAlign w:val="center"/>
          </w:tcPr>
          <w:p w14:paraId="54192178" w14:textId="77777777" w:rsidR="00752F32" w:rsidRPr="001720E3" w:rsidRDefault="00752F32" w:rsidP="00DE7C76">
            <w:pPr>
              <w:autoSpaceDE w:val="0"/>
              <w:autoSpaceDN w:val="0"/>
              <w:adjustRightInd w:val="0"/>
              <w:spacing w:line="360" w:lineRule="auto"/>
              <w:jc w:val="both"/>
            </w:pPr>
            <w:r w:rsidRPr="001720E3">
              <w:t>I14, I15</w:t>
            </w:r>
          </w:p>
        </w:tc>
      </w:tr>
      <w:tr w:rsidR="00752F32" w:rsidRPr="001720E3" w14:paraId="0EE3D7A0" w14:textId="77777777" w:rsidTr="00DE7C76">
        <w:tc>
          <w:tcPr>
            <w:tcW w:w="768" w:type="pct"/>
            <w:vMerge/>
          </w:tcPr>
          <w:p w14:paraId="3E5FAE7A" w14:textId="77777777" w:rsidR="00752F32" w:rsidRPr="001720E3" w:rsidRDefault="00752F32" w:rsidP="00DE7C76">
            <w:pPr>
              <w:spacing w:line="360" w:lineRule="auto"/>
              <w:jc w:val="both"/>
            </w:pPr>
          </w:p>
        </w:tc>
        <w:tc>
          <w:tcPr>
            <w:tcW w:w="616" w:type="pct"/>
            <w:vMerge/>
          </w:tcPr>
          <w:p w14:paraId="77B55BE7" w14:textId="77777777" w:rsidR="00752F32" w:rsidRPr="001720E3" w:rsidRDefault="00752F32" w:rsidP="00DE7C76">
            <w:pPr>
              <w:spacing w:line="360" w:lineRule="auto"/>
              <w:jc w:val="both"/>
            </w:pPr>
          </w:p>
        </w:tc>
        <w:tc>
          <w:tcPr>
            <w:tcW w:w="692" w:type="pct"/>
            <w:vAlign w:val="center"/>
          </w:tcPr>
          <w:p w14:paraId="0393A81B" w14:textId="77777777" w:rsidR="00752F32" w:rsidRPr="001720E3" w:rsidRDefault="00752F32" w:rsidP="00DE7C76">
            <w:pPr>
              <w:spacing w:line="360" w:lineRule="auto"/>
              <w:jc w:val="both"/>
            </w:pPr>
            <w:r w:rsidRPr="001720E3">
              <w:t>Servidores</w:t>
            </w:r>
          </w:p>
        </w:tc>
        <w:tc>
          <w:tcPr>
            <w:tcW w:w="2539" w:type="pct"/>
          </w:tcPr>
          <w:p w14:paraId="52A4B899" w14:textId="77777777" w:rsidR="00752F32" w:rsidRPr="001720E3" w:rsidRDefault="00752F32" w:rsidP="00DE7C76">
            <w:pPr>
              <w:spacing w:line="360" w:lineRule="auto"/>
              <w:jc w:val="both"/>
            </w:pPr>
            <w:r w:rsidRPr="001720E3">
              <w:t>Computadora optimizada de manera específica para proveer software y otros recursos a otras computadoras a través de una red (Laudon y Laudon, 2012).</w:t>
            </w:r>
          </w:p>
        </w:tc>
        <w:tc>
          <w:tcPr>
            <w:tcW w:w="385" w:type="pct"/>
            <w:vAlign w:val="center"/>
          </w:tcPr>
          <w:p w14:paraId="144AA68B" w14:textId="77777777" w:rsidR="00752F32" w:rsidRPr="001720E3" w:rsidRDefault="00752F32" w:rsidP="00DE7C76">
            <w:pPr>
              <w:spacing w:line="360" w:lineRule="auto"/>
              <w:jc w:val="both"/>
            </w:pPr>
            <w:r w:rsidRPr="001720E3">
              <w:t>I16</w:t>
            </w:r>
          </w:p>
        </w:tc>
      </w:tr>
      <w:tr w:rsidR="00752F32" w:rsidRPr="001720E3" w14:paraId="6815A0D4" w14:textId="77777777" w:rsidTr="00DE7C76">
        <w:tc>
          <w:tcPr>
            <w:tcW w:w="768" w:type="pct"/>
            <w:vMerge/>
          </w:tcPr>
          <w:p w14:paraId="55D3C048" w14:textId="77777777" w:rsidR="00752F32" w:rsidRPr="001720E3" w:rsidRDefault="00752F32" w:rsidP="00DE7C76">
            <w:pPr>
              <w:spacing w:line="360" w:lineRule="auto"/>
              <w:jc w:val="both"/>
            </w:pPr>
          </w:p>
        </w:tc>
        <w:tc>
          <w:tcPr>
            <w:tcW w:w="616" w:type="pct"/>
            <w:vMerge/>
          </w:tcPr>
          <w:p w14:paraId="37847BF9" w14:textId="77777777" w:rsidR="00752F32" w:rsidRPr="001720E3" w:rsidRDefault="00752F32" w:rsidP="00DE7C76">
            <w:pPr>
              <w:spacing w:line="360" w:lineRule="auto"/>
              <w:jc w:val="both"/>
            </w:pPr>
          </w:p>
        </w:tc>
        <w:tc>
          <w:tcPr>
            <w:tcW w:w="692" w:type="pct"/>
            <w:vAlign w:val="center"/>
          </w:tcPr>
          <w:p w14:paraId="7094D5EC" w14:textId="77777777" w:rsidR="00752F32" w:rsidRPr="001720E3" w:rsidRDefault="00752F32" w:rsidP="00DE7C76">
            <w:pPr>
              <w:spacing w:line="360" w:lineRule="auto"/>
              <w:jc w:val="both"/>
              <w:rPr>
                <w:i/>
              </w:rPr>
            </w:pPr>
            <w:r w:rsidRPr="001720E3">
              <w:rPr>
                <w:i/>
              </w:rPr>
              <w:t>Software</w:t>
            </w:r>
          </w:p>
        </w:tc>
        <w:tc>
          <w:tcPr>
            <w:tcW w:w="2539" w:type="pct"/>
          </w:tcPr>
          <w:p w14:paraId="18DFB01B" w14:textId="77777777" w:rsidR="00752F32" w:rsidRPr="001720E3" w:rsidRDefault="00752F32" w:rsidP="00DE7C76">
            <w:pPr>
              <w:spacing w:line="360" w:lineRule="auto"/>
              <w:jc w:val="both"/>
            </w:pPr>
            <w:r w:rsidRPr="001720E3">
              <w:t>Todos los documentos asociados y la configuración de datos que se necesitan para hacer que estos programas operen de manera correcta (Sommerville, 2011).</w:t>
            </w:r>
          </w:p>
        </w:tc>
        <w:tc>
          <w:tcPr>
            <w:tcW w:w="385" w:type="pct"/>
            <w:vAlign w:val="center"/>
          </w:tcPr>
          <w:p w14:paraId="5873A88A" w14:textId="77777777" w:rsidR="00752F32" w:rsidRPr="001720E3" w:rsidRDefault="00752F32" w:rsidP="00DE7C76">
            <w:pPr>
              <w:spacing w:line="360" w:lineRule="auto"/>
              <w:jc w:val="both"/>
            </w:pPr>
            <w:r w:rsidRPr="001720E3">
              <w:t>I17</w:t>
            </w:r>
          </w:p>
        </w:tc>
      </w:tr>
      <w:tr w:rsidR="00752F32" w:rsidRPr="001720E3" w14:paraId="40824A64" w14:textId="77777777" w:rsidTr="00DE7C76">
        <w:tc>
          <w:tcPr>
            <w:tcW w:w="768" w:type="pct"/>
            <w:vMerge/>
          </w:tcPr>
          <w:p w14:paraId="20C7D808" w14:textId="77777777" w:rsidR="00752F32" w:rsidRPr="001720E3" w:rsidRDefault="00752F32" w:rsidP="00DE7C76">
            <w:pPr>
              <w:spacing w:line="360" w:lineRule="auto"/>
              <w:jc w:val="both"/>
            </w:pPr>
          </w:p>
        </w:tc>
        <w:tc>
          <w:tcPr>
            <w:tcW w:w="616" w:type="pct"/>
            <w:vMerge w:val="restart"/>
            <w:vAlign w:val="center"/>
          </w:tcPr>
          <w:p w14:paraId="2DB77DC7" w14:textId="77777777" w:rsidR="00752F32" w:rsidRPr="001720E3" w:rsidRDefault="00752F32" w:rsidP="00DE7C76">
            <w:pPr>
              <w:spacing w:line="360" w:lineRule="auto"/>
              <w:jc w:val="both"/>
            </w:pPr>
            <w:r w:rsidRPr="001720E3">
              <w:t>Recursos de transporte</w:t>
            </w:r>
          </w:p>
        </w:tc>
        <w:tc>
          <w:tcPr>
            <w:tcW w:w="692" w:type="pct"/>
            <w:vAlign w:val="center"/>
          </w:tcPr>
          <w:p w14:paraId="73611115" w14:textId="77777777" w:rsidR="00752F32" w:rsidRPr="001720E3" w:rsidRDefault="00752F32" w:rsidP="00DE7C76">
            <w:pPr>
              <w:spacing w:line="360" w:lineRule="auto"/>
              <w:jc w:val="both"/>
            </w:pPr>
            <w:r w:rsidRPr="001720E3">
              <w:t>Vehículos</w:t>
            </w:r>
          </w:p>
        </w:tc>
        <w:tc>
          <w:tcPr>
            <w:tcW w:w="2539" w:type="pct"/>
          </w:tcPr>
          <w:p w14:paraId="6DD95201" w14:textId="77777777" w:rsidR="00752F32" w:rsidRPr="001720E3" w:rsidRDefault="00752F32" w:rsidP="00DE7C76">
            <w:pPr>
              <w:spacing w:line="360" w:lineRule="auto"/>
              <w:jc w:val="both"/>
            </w:pPr>
            <w:r w:rsidRPr="001720E3">
              <w:t>Activo físico […] que se utiliza para servir a una función comercial u organizacional (Hastings, 2010)</w:t>
            </w:r>
          </w:p>
        </w:tc>
        <w:tc>
          <w:tcPr>
            <w:tcW w:w="385" w:type="pct"/>
            <w:vAlign w:val="center"/>
          </w:tcPr>
          <w:p w14:paraId="452BE879" w14:textId="77777777" w:rsidR="00752F32" w:rsidRPr="001720E3" w:rsidRDefault="00752F32" w:rsidP="00DE7C76">
            <w:pPr>
              <w:spacing w:line="360" w:lineRule="auto"/>
              <w:jc w:val="both"/>
            </w:pPr>
            <w:r w:rsidRPr="001720E3">
              <w:t>I18</w:t>
            </w:r>
          </w:p>
        </w:tc>
      </w:tr>
      <w:tr w:rsidR="00752F32" w:rsidRPr="001720E3" w14:paraId="67C254B4" w14:textId="77777777" w:rsidTr="00DE7C76">
        <w:tc>
          <w:tcPr>
            <w:tcW w:w="768" w:type="pct"/>
            <w:vMerge/>
          </w:tcPr>
          <w:p w14:paraId="616CAF66" w14:textId="77777777" w:rsidR="00752F32" w:rsidRPr="001720E3" w:rsidRDefault="00752F32" w:rsidP="00DE7C76">
            <w:pPr>
              <w:spacing w:line="360" w:lineRule="auto"/>
              <w:jc w:val="both"/>
            </w:pPr>
          </w:p>
        </w:tc>
        <w:tc>
          <w:tcPr>
            <w:tcW w:w="616" w:type="pct"/>
            <w:vMerge/>
          </w:tcPr>
          <w:p w14:paraId="2191CA6D" w14:textId="77777777" w:rsidR="00752F32" w:rsidRPr="001720E3" w:rsidRDefault="00752F32" w:rsidP="00DE7C76">
            <w:pPr>
              <w:spacing w:line="360" w:lineRule="auto"/>
              <w:jc w:val="both"/>
            </w:pPr>
          </w:p>
        </w:tc>
        <w:tc>
          <w:tcPr>
            <w:tcW w:w="692" w:type="pct"/>
            <w:vAlign w:val="center"/>
          </w:tcPr>
          <w:p w14:paraId="710F806D" w14:textId="77777777" w:rsidR="00752F32" w:rsidRPr="001720E3" w:rsidRDefault="00752F32" w:rsidP="00DE7C76">
            <w:pPr>
              <w:spacing w:line="360" w:lineRule="auto"/>
              <w:jc w:val="both"/>
            </w:pPr>
            <w:r w:rsidRPr="001720E3">
              <w:t>Dispositivos para transferencia de información (USB, disco duro, etc.)</w:t>
            </w:r>
          </w:p>
        </w:tc>
        <w:tc>
          <w:tcPr>
            <w:tcW w:w="2539" w:type="pct"/>
          </w:tcPr>
          <w:p w14:paraId="7ABEC4B7" w14:textId="77777777" w:rsidR="00752F32" w:rsidRPr="001720E3" w:rsidRDefault="00752F32" w:rsidP="00DE7C76">
            <w:pPr>
              <w:spacing w:line="360" w:lineRule="auto"/>
              <w:jc w:val="both"/>
            </w:pPr>
            <w:r w:rsidRPr="001720E3">
              <w:t>Proceso que permite el envío y recepción de documentos en un formato digital sin que tengan que imprimirse (aunque es posible la impresión) (Stair y Reynolds, 2010).</w:t>
            </w:r>
          </w:p>
        </w:tc>
        <w:tc>
          <w:tcPr>
            <w:tcW w:w="385" w:type="pct"/>
            <w:vAlign w:val="center"/>
          </w:tcPr>
          <w:p w14:paraId="038D88B6" w14:textId="77777777" w:rsidR="00752F32" w:rsidRPr="001720E3" w:rsidRDefault="00752F32" w:rsidP="00DE7C76">
            <w:pPr>
              <w:spacing w:line="360" w:lineRule="auto"/>
              <w:jc w:val="both"/>
            </w:pPr>
            <w:r w:rsidRPr="001720E3">
              <w:t>I19</w:t>
            </w:r>
          </w:p>
        </w:tc>
      </w:tr>
      <w:tr w:rsidR="00752F32" w:rsidRPr="001720E3" w14:paraId="60DA31A2" w14:textId="77777777" w:rsidTr="00DE7C76">
        <w:tc>
          <w:tcPr>
            <w:tcW w:w="768" w:type="pct"/>
            <w:vMerge/>
          </w:tcPr>
          <w:p w14:paraId="25386C23" w14:textId="77777777" w:rsidR="00752F32" w:rsidRPr="001720E3" w:rsidRDefault="00752F32" w:rsidP="00DE7C76">
            <w:pPr>
              <w:spacing w:line="360" w:lineRule="auto"/>
              <w:jc w:val="both"/>
            </w:pPr>
          </w:p>
        </w:tc>
        <w:tc>
          <w:tcPr>
            <w:tcW w:w="616" w:type="pct"/>
            <w:vMerge w:val="restart"/>
            <w:vAlign w:val="center"/>
          </w:tcPr>
          <w:p w14:paraId="00994007" w14:textId="77777777" w:rsidR="00752F32" w:rsidRPr="001720E3" w:rsidRDefault="00752F32" w:rsidP="00DE7C76">
            <w:pPr>
              <w:spacing w:line="360" w:lineRule="auto"/>
              <w:jc w:val="both"/>
            </w:pPr>
            <w:r w:rsidRPr="001720E3">
              <w:t>Tecnologías de la información y la comunicación</w:t>
            </w:r>
          </w:p>
        </w:tc>
        <w:tc>
          <w:tcPr>
            <w:tcW w:w="692" w:type="pct"/>
            <w:vAlign w:val="center"/>
          </w:tcPr>
          <w:p w14:paraId="123A00B2" w14:textId="77777777" w:rsidR="00752F32" w:rsidRPr="001720E3" w:rsidRDefault="00752F32" w:rsidP="00DE7C76">
            <w:pPr>
              <w:spacing w:line="360" w:lineRule="auto"/>
              <w:jc w:val="both"/>
            </w:pPr>
            <w:r w:rsidRPr="001720E3">
              <w:t>Almacenamiento de información</w:t>
            </w:r>
          </w:p>
        </w:tc>
        <w:tc>
          <w:tcPr>
            <w:tcW w:w="2539" w:type="pct"/>
          </w:tcPr>
          <w:p w14:paraId="56397053" w14:textId="12698D41" w:rsidR="00752F32" w:rsidRPr="001720E3" w:rsidRDefault="00752F32" w:rsidP="00DE7C76">
            <w:pPr>
              <w:spacing w:line="360" w:lineRule="auto"/>
              <w:jc w:val="both"/>
            </w:pPr>
            <w:r w:rsidRPr="001720E3">
              <w:t xml:space="preserve">El almacenamiento en la nube o </w:t>
            </w:r>
            <w:r w:rsidRPr="001720E3">
              <w:rPr>
                <w:i/>
                <w:lang w:val="en-US"/>
              </w:rPr>
              <w:t>cloud</w:t>
            </w:r>
            <w:r w:rsidRPr="001720E3">
              <w:rPr>
                <w:i/>
              </w:rPr>
              <w:t xml:space="preserve"> </w:t>
            </w:r>
            <w:r w:rsidRPr="001720E3">
              <w:rPr>
                <w:i/>
                <w:lang w:val="en-US"/>
              </w:rPr>
              <w:t>storage</w:t>
            </w:r>
            <w:r w:rsidRPr="001720E3">
              <w:t xml:space="preserve"> es el espacio para acopiar datos, información, objetos digitales y otros que se acceden por internet a través de un servicio web, mediante un navegador (Vázquez</w:t>
            </w:r>
            <w:r w:rsidR="007377C2" w:rsidRPr="001720E3">
              <w:t>-Moctezuma</w:t>
            </w:r>
            <w:r w:rsidRPr="001720E3">
              <w:t>, 2015).</w:t>
            </w:r>
          </w:p>
        </w:tc>
        <w:tc>
          <w:tcPr>
            <w:tcW w:w="385" w:type="pct"/>
            <w:vAlign w:val="center"/>
          </w:tcPr>
          <w:p w14:paraId="74970650" w14:textId="77777777" w:rsidR="00752F32" w:rsidRPr="001720E3" w:rsidRDefault="00752F32" w:rsidP="00DE7C76">
            <w:pPr>
              <w:spacing w:line="360" w:lineRule="auto"/>
              <w:jc w:val="both"/>
            </w:pPr>
            <w:r w:rsidRPr="001720E3">
              <w:t>I20</w:t>
            </w:r>
          </w:p>
        </w:tc>
      </w:tr>
      <w:tr w:rsidR="00752F32" w:rsidRPr="001720E3" w14:paraId="39CC6CF1" w14:textId="77777777" w:rsidTr="00DE7C76">
        <w:tc>
          <w:tcPr>
            <w:tcW w:w="768" w:type="pct"/>
            <w:vMerge/>
          </w:tcPr>
          <w:p w14:paraId="2DAEF662" w14:textId="77777777" w:rsidR="00752F32" w:rsidRPr="001720E3" w:rsidRDefault="00752F32" w:rsidP="00DE7C76">
            <w:pPr>
              <w:spacing w:line="360" w:lineRule="auto"/>
              <w:jc w:val="both"/>
            </w:pPr>
          </w:p>
        </w:tc>
        <w:tc>
          <w:tcPr>
            <w:tcW w:w="616" w:type="pct"/>
            <w:vMerge/>
            <w:vAlign w:val="center"/>
          </w:tcPr>
          <w:p w14:paraId="2C2EE1F9" w14:textId="77777777" w:rsidR="00752F32" w:rsidRPr="001720E3" w:rsidRDefault="00752F32" w:rsidP="00DE7C76">
            <w:pPr>
              <w:spacing w:line="360" w:lineRule="auto"/>
              <w:jc w:val="both"/>
            </w:pPr>
          </w:p>
        </w:tc>
        <w:tc>
          <w:tcPr>
            <w:tcW w:w="692" w:type="pct"/>
            <w:vAlign w:val="center"/>
          </w:tcPr>
          <w:p w14:paraId="1D9FD52A" w14:textId="77777777" w:rsidR="00752F32" w:rsidRPr="001720E3" w:rsidRDefault="00752F32" w:rsidP="00DE7C76">
            <w:pPr>
              <w:spacing w:line="360" w:lineRule="auto"/>
              <w:jc w:val="both"/>
            </w:pPr>
            <w:r w:rsidRPr="001720E3">
              <w:t>Intercambio de información</w:t>
            </w:r>
          </w:p>
        </w:tc>
        <w:tc>
          <w:tcPr>
            <w:tcW w:w="2539" w:type="pct"/>
          </w:tcPr>
          <w:p w14:paraId="17C17F95" w14:textId="77777777" w:rsidR="00752F32" w:rsidRPr="001720E3" w:rsidRDefault="00752F32" w:rsidP="00DE7C76">
            <w:pPr>
              <w:spacing w:line="360" w:lineRule="auto"/>
              <w:jc w:val="both"/>
            </w:pPr>
            <w:r w:rsidRPr="001720E3">
              <w:t>Es la facilidad de intercambio de ideas y documentos, así como del trabajo en equipo entre personas que se encuentran a pequeñas o grandes distancias Ejemplos:</w:t>
            </w:r>
          </w:p>
          <w:p w14:paraId="75482A01" w14:textId="77777777" w:rsidR="00752F32" w:rsidRPr="001720E3" w:rsidRDefault="00752F32" w:rsidP="00752F32">
            <w:pPr>
              <w:pStyle w:val="Prrafodelista"/>
              <w:numPr>
                <w:ilvl w:val="0"/>
                <w:numId w:val="5"/>
              </w:numPr>
              <w:spacing w:line="360" w:lineRule="auto"/>
              <w:ind w:left="336"/>
              <w:jc w:val="both"/>
              <w:rPr>
                <w:rFonts w:ascii="Times New Roman" w:hAnsi="Times New Roman" w:cs="Times New Roman"/>
              </w:rPr>
            </w:pPr>
            <w:r w:rsidRPr="001720E3">
              <w:rPr>
                <w:rFonts w:ascii="Times New Roman" w:hAnsi="Times New Roman" w:cs="Times New Roman"/>
              </w:rPr>
              <w:t>Correo electrónico: Outlook, Hotmail, Yahoo, Gmail, Live e institucionales.</w:t>
            </w:r>
          </w:p>
          <w:p w14:paraId="6C804F03" w14:textId="77777777" w:rsidR="00752F32" w:rsidRPr="001720E3" w:rsidRDefault="00752F32" w:rsidP="00752F32">
            <w:pPr>
              <w:pStyle w:val="Prrafodelista"/>
              <w:numPr>
                <w:ilvl w:val="0"/>
                <w:numId w:val="5"/>
              </w:numPr>
              <w:spacing w:line="360" w:lineRule="auto"/>
              <w:ind w:left="336"/>
              <w:jc w:val="both"/>
              <w:rPr>
                <w:rFonts w:ascii="Times New Roman" w:hAnsi="Times New Roman" w:cs="Times New Roman"/>
              </w:rPr>
            </w:pPr>
            <w:r w:rsidRPr="001720E3">
              <w:rPr>
                <w:rFonts w:ascii="Times New Roman" w:hAnsi="Times New Roman" w:cs="Times New Roman"/>
              </w:rPr>
              <w:t>Mensajería instantánea: WhatsApp, Hangouts, Messenger, Snapchat, Telegram, Line, Skype, Vibre.</w:t>
            </w:r>
          </w:p>
          <w:p w14:paraId="1164209A" w14:textId="77777777" w:rsidR="00752F32" w:rsidRPr="001720E3" w:rsidRDefault="00752F32" w:rsidP="00752F32">
            <w:pPr>
              <w:pStyle w:val="Prrafodelista"/>
              <w:numPr>
                <w:ilvl w:val="0"/>
                <w:numId w:val="5"/>
              </w:numPr>
              <w:spacing w:line="360" w:lineRule="auto"/>
              <w:ind w:left="336"/>
              <w:jc w:val="both"/>
              <w:rPr>
                <w:rFonts w:ascii="Times New Roman" w:hAnsi="Times New Roman" w:cs="Times New Roman"/>
              </w:rPr>
            </w:pPr>
            <w:r w:rsidRPr="001720E3">
              <w:rPr>
                <w:rFonts w:ascii="Times New Roman" w:hAnsi="Times New Roman" w:cs="Times New Roman"/>
              </w:rPr>
              <w:lastRenderedPageBreak/>
              <w:t xml:space="preserve">Redes sociales: Facebook, Twitter, Instagram, Blog, Vine, Tumblr (Gerhard </w:t>
            </w:r>
            <w:r w:rsidRPr="001720E3">
              <w:rPr>
                <w:rFonts w:ascii="Times New Roman" w:hAnsi="Times New Roman" w:cs="Times New Roman"/>
                <w:i/>
              </w:rPr>
              <w:t>et al</w:t>
            </w:r>
            <w:r w:rsidRPr="001720E3">
              <w:rPr>
                <w:rFonts w:ascii="Times New Roman" w:hAnsi="Times New Roman" w:cs="Times New Roman"/>
              </w:rPr>
              <w:t>., 2017).</w:t>
            </w:r>
          </w:p>
        </w:tc>
        <w:tc>
          <w:tcPr>
            <w:tcW w:w="385" w:type="pct"/>
            <w:vAlign w:val="center"/>
          </w:tcPr>
          <w:p w14:paraId="494366D2" w14:textId="77777777" w:rsidR="00752F32" w:rsidRPr="001720E3" w:rsidRDefault="00752F32" w:rsidP="00DE7C76">
            <w:pPr>
              <w:spacing w:line="360" w:lineRule="auto"/>
              <w:jc w:val="both"/>
            </w:pPr>
            <w:r w:rsidRPr="001720E3">
              <w:lastRenderedPageBreak/>
              <w:t>I21, I22, I23</w:t>
            </w:r>
          </w:p>
        </w:tc>
      </w:tr>
      <w:tr w:rsidR="00752F32" w:rsidRPr="001720E3" w14:paraId="52E495E1" w14:textId="77777777" w:rsidTr="00DE7C76">
        <w:tc>
          <w:tcPr>
            <w:tcW w:w="768" w:type="pct"/>
            <w:vMerge/>
          </w:tcPr>
          <w:p w14:paraId="727C2D8B" w14:textId="77777777" w:rsidR="00752F32" w:rsidRPr="001720E3" w:rsidRDefault="00752F32" w:rsidP="00DE7C76">
            <w:pPr>
              <w:spacing w:line="360" w:lineRule="auto"/>
              <w:jc w:val="both"/>
            </w:pPr>
          </w:p>
        </w:tc>
        <w:tc>
          <w:tcPr>
            <w:tcW w:w="616" w:type="pct"/>
            <w:vMerge/>
            <w:vAlign w:val="center"/>
          </w:tcPr>
          <w:p w14:paraId="20EC1F17" w14:textId="77777777" w:rsidR="00752F32" w:rsidRPr="001720E3" w:rsidRDefault="00752F32" w:rsidP="00DE7C76">
            <w:pPr>
              <w:spacing w:line="360" w:lineRule="auto"/>
              <w:jc w:val="both"/>
            </w:pPr>
          </w:p>
        </w:tc>
        <w:tc>
          <w:tcPr>
            <w:tcW w:w="692" w:type="pct"/>
            <w:vAlign w:val="center"/>
          </w:tcPr>
          <w:p w14:paraId="1D7176EC" w14:textId="77777777" w:rsidR="00752F32" w:rsidRPr="001720E3" w:rsidRDefault="00752F32" w:rsidP="00DE7C76">
            <w:pPr>
              <w:spacing w:line="360" w:lineRule="auto"/>
              <w:jc w:val="both"/>
            </w:pPr>
            <w:r w:rsidRPr="001720E3">
              <w:t>Control de información</w:t>
            </w:r>
          </w:p>
        </w:tc>
        <w:tc>
          <w:tcPr>
            <w:tcW w:w="2539" w:type="pct"/>
          </w:tcPr>
          <w:p w14:paraId="24EBECBD" w14:textId="77777777" w:rsidR="00752F32" w:rsidRPr="001720E3" w:rsidRDefault="00752F32" w:rsidP="00DE7C76">
            <w:pPr>
              <w:spacing w:line="360" w:lineRule="auto"/>
              <w:jc w:val="both"/>
            </w:pPr>
            <w:r w:rsidRPr="001720E3">
              <w:t>Cuando la organización utiliza información documentada administrada por sistemas basados en software, debe controlar sus cambios, así como abordar problemas de seguridad de la información (Organización Internacional de Normalización [ISO 10013], 2021).</w:t>
            </w:r>
          </w:p>
        </w:tc>
        <w:tc>
          <w:tcPr>
            <w:tcW w:w="385" w:type="pct"/>
            <w:vAlign w:val="center"/>
          </w:tcPr>
          <w:p w14:paraId="09E5E08F" w14:textId="77777777" w:rsidR="00752F32" w:rsidRPr="001720E3" w:rsidRDefault="00752F32" w:rsidP="00DE7C76">
            <w:pPr>
              <w:spacing w:line="360" w:lineRule="auto"/>
              <w:jc w:val="both"/>
            </w:pPr>
            <w:r w:rsidRPr="001720E3">
              <w:t>I24, 125</w:t>
            </w:r>
          </w:p>
        </w:tc>
      </w:tr>
      <w:tr w:rsidR="00752F32" w:rsidRPr="001720E3" w14:paraId="480E260F" w14:textId="77777777" w:rsidTr="00DE7C76">
        <w:tc>
          <w:tcPr>
            <w:tcW w:w="768" w:type="pct"/>
            <w:vMerge/>
          </w:tcPr>
          <w:p w14:paraId="2656C0F7" w14:textId="77777777" w:rsidR="00752F32" w:rsidRPr="001720E3" w:rsidRDefault="00752F32" w:rsidP="00DE7C76">
            <w:pPr>
              <w:spacing w:line="360" w:lineRule="auto"/>
              <w:jc w:val="both"/>
            </w:pPr>
          </w:p>
        </w:tc>
        <w:tc>
          <w:tcPr>
            <w:tcW w:w="616" w:type="pct"/>
            <w:vMerge/>
            <w:vAlign w:val="center"/>
          </w:tcPr>
          <w:p w14:paraId="6935909B" w14:textId="77777777" w:rsidR="00752F32" w:rsidRPr="001720E3" w:rsidRDefault="00752F32" w:rsidP="00DE7C76">
            <w:pPr>
              <w:spacing w:line="360" w:lineRule="auto"/>
              <w:jc w:val="both"/>
            </w:pPr>
          </w:p>
        </w:tc>
        <w:tc>
          <w:tcPr>
            <w:tcW w:w="692" w:type="pct"/>
            <w:vAlign w:val="center"/>
          </w:tcPr>
          <w:p w14:paraId="46F97216" w14:textId="77777777" w:rsidR="00752F32" w:rsidRPr="001720E3" w:rsidRDefault="00752F32" w:rsidP="00DE7C76">
            <w:pPr>
              <w:spacing w:line="360" w:lineRule="auto"/>
              <w:jc w:val="both"/>
            </w:pPr>
            <w:r w:rsidRPr="001720E3">
              <w:t>Procesamiento de información</w:t>
            </w:r>
          </w:p>
        </w:tc>
        <w:tc>
          <w:tcPr>
            <w:tcW w:w="2539" w:type="pct"/>
          </w:tcPr>
          <w:p w14:paraId="6A9A7F6B" w14:textId="44885121" w:rsidR="00752F32" w:rsidRPr="001720E3" w:rsidRDefault="00752F32" w:rsidP="00DE7C76">
            <w:pPr>
              <w:spacing w:line="360" w:lineRule="auto"/>
              <w:jc w:val="both"/>
            </w:pPr>
            <w:r w:rsidRPr="001720E3">
              <w:t>Pueden ser aplicaciones de propósito general, que pueden ser utilizados para una amplia variedad de tareas, como pueden ser contabilidad, administración y procesamiento de palabras (Ortega</w:t>
            </w:r>
            <w:r w:rsidR="007377C2" w:rsidRPr="001720E3">
              <w:t>-Arjona</w:t>
            </w:r>
            <w:r w:rsidRPr="001720E3">
              <w:t>, 2000).</w:t>
            </w:r>
          </w:p>
        </w:tc>
        <w:tc>
          <w:tcPr>
            <w:tcW w:w="385" w:type="pct"/>
            <w:vAlign w:val="center"/>
          </w:tcPr>
          <w:p w14:paraId="44172C60" w14:textId="77777777" w:rsidR="00752F32" w:rsidRPr="001720E3" w:rsidRDefault="00752F32" w:rsidP="00DE7C76">
            <w:pPr>
              <w:spacing w:line="360" w:lineRule="auto"/>
              <w:jc w:val="both"/>
            </w:pPr>
            <w:r w:rsidRPr="001720E3">
              <w:t>I26, I27</w:t>
            </w:r>
          </w:p>
        </w:tc>
      </w:tr>
      <w:tr w:rsidR="00752F32" w:rsidRPr="001720E3" w14:paraId="57351B66" w14:textId="77777777" w:rsidTr="00DE7C76">
        <w:tc>
          <w:tcPr>
            <w:tcW w:w="768" w:type="pct"/>
            <w:vMerge/>
          </w:tcPr>
          <w:p w14:paraId="61D6D65A" w14:textId="77777777" w:rsidR="00752F32" w:rsidRPr="001720E3" w:rsidRDefault="00752F32" w:rsidP="00DE7C76">
            <w:pPr>
              <w:spacing w:line="360" w:lineRule="auto"/>
              <w:jc w:val="both"/>
            </w:pPr>
          </w:p>
        </w:tc>
        <w:tc>
          <w:tcPr>
            <w:tcW w:w="616" w:type="pct"/>
            <w:vMerge/>
            <w:vAlign w:val="center"/>
          </w:tcPr>
          <w:p w14:paraId="09EA30C9" w14:textId="77777777" w:rsidR="00752F32" w:rsidRPr="001720E3" w:rsidRDefault="00752F32" w:rsidP="00DE7C76">
            <w:pPr>
              <w:spacing w:line="360" w:lineRule="auto"/>
              <w:jc w:val="both"/>
            </w:pPr>
          </w:p>
        </w:tc>
        <w:tc>
          <w:tcPr>
            <w:tcW w:w="692" w:type="pct"/>
            <w:vAlign w:val="center"/>
          </w:tcPr>
          <w:p w14:paraId="785E4CAF" w14:textId="77777777" w:rsidR="00752F32" w:rsidRPr="001720E3" w:rsidRDefault="00752F32" w:rsidP="00DE7C76">
            <w:pPr>
              <w:spacing w:line="360" w:lineRule="auto"/>
              <w:jc w:val="both"/>
            </w:pPr>
            <w:r w:rsidRPr="001720E3">
              <w:t>Digitalización</w:t>
            </w:r>
          </w:p>
        </w:tc>
        <w:tc>
          <w:tcPr>
            <w:tcW w:w="2539" w:type="pct"/>
          </w:tcPr>
          <w:p w14:paraId="54B0C238" w14:textId="77777777" w:rsidR="00752F32" w:rsidRPr="001720E3" w:rsidRDefault="00752F32" w:rsidP="00DE7C76">
            <w:pPr>
              <w:spacing w:line="360" w:lineRule="auto"/>
              <w:jc w:val="both"/>
            </w:pPr>
            <w:r w:rsidRPr="001720E3">
              <w:t>Su objetivo es que la información de distinto tipo (sonidos, texto, imágenes, animaciones) se transmita por los mismos medios al estar representada en un formato único universal (Ayala y Gonzales, 2015).</w:t>
            </w:r>
          </w:p>
        </w:tc>
        <w:tc>
          <w:tcPr>
            <w:tcW w:w="385" w:type="pct"/>
            <w:vAlign w:val="center"/>
          </w:tcPr>
          <w:p w14:paraId="1C17C6DF" w14:textId="77777777" w:rsidR="00752F32" w:rsidRPr="001720E3" w:rsidRDefault="00752F32" w:rsidP="00DE7C76">
            <w:pPr>
              <w:spacing w:line="360" w:lineRule="auto"/>
              <w:jc w:val="both"/>
            </w:pPr>
            <w:r w:rsidRPr="001720E3">
              <w:t>I28</w:t>
            </w:r>
          </w:p>
        </w:tc>
      </w:tr>
      <w:tr w:rsidR="00752F32" w:rsidRPr="001720E3" w14:paraId="7E7F9914" w14:textId="77777777" w:rsidTr="00DE7C76">
        <w:tc>
          <w:tcPr>
            <w:tcW w:w="768" w:type="pct"/>
            <w:vMerge/>
          </w:tcPr>
          <w:p w14:paraId="2B68EF59" w14:textId="77777777" w:rsidR="00752F32" w:rsidRPr="001720E3" w:rsidRDefault="00752F32" w:rsidP="00DE7C76">
            <w:pPr>
              <w:spacing w:line="360" w:lineRule="auto"/>
              <w:jc w:val="both"/>
            </w:pPr>
          </w:p>
        </w:tc>
        <w:tc>
          <w:tcPr>
            <w:tcW w:w="616" w:type="pct"/>
            <w:vMerge/>
            <w:vAlign w:val="center"/>
          </w:tcPr>
          <w:p w14:paraId="73B2F442" w14:textId="77777777" w:rsidR="00752F32" w:rsidRPr="001720E3" w:rsidRDefault="00752F32" w:rsidP="00DE7C76">
            <w:pPr>
              <w:spacing w:line="360" w:lineRule="auto"/>
              <w:jc w:val="both"/>
            </w:pPr>
          </w:p>
        </w:tc>
        <w:tc>
          <w:tcPr>
            <w:tcW w:w="692" w:type="pct"/>
            <w:vAlign w:val="center"/>
          </w:tcPr>
          <w:p w14:paraId="33517A65" w14:textId="77777777" w:rsidR="00752F32" w:rsidRPr="001720E3" w:rsidRDefault="00752F32" w:rsidP="00DE7C76">
            <w:pPr>
              <w:spacing w:line="360" w:lineRule="auto"/>
              <w:jc w:val="both"/>
            </w:pPr>
            <w:r w:rsidRPr="001720E3">
              <w:t>Videoconferencia</w:t>
            </w:r>
          </w:p>
        </w:tc>
        <w:tc>
          <w:tcPr>
            <w:tcW w:w="2539" w:type="pct"/>
          </w:tcPr>
          <w:p w14:paraId="57D13641" w14:textId="77777777" w:rsidR="00752F32" w:rsidRPr="001720E3" w:rsidRDefault="00752F32" w:rsidP="00DE7C76">
            <w:pPr>
              <w:spacing w:line="360" w:lineRule="auto"/>
              <w:jc w:val="both"/>
            </w:pPr>
            <w:r w:rsidRPr="001720E3">
              <w:t>Sistema de telecomunicaciones que combina capacidades de video y llamada telefónica con transmisión de datos o documentos (Stair y Reynolds, 2010).</w:t>
            </w:r>
          </w:p>
        </w:tc>
        <w:tc>
          <w:tcPr>
            <w:tcW w:w="385" w:type="pct"/>
            <w:vAlign w:val="center"/>
          </w:tcPr>
          <w:p w14:paraId="101B32FC" w14:textId="77777777" w:rsidR="00752F32" w:rsidRPr="001720E3" w:rsidRDefault="00752F32" w:rsidP="00DE7C76">
            <w:pPr>
              <w:spacing w:line="360" w:lineRule="auto"/>
              <w:jc w:val="both"/>
            </w:pPr>
            <w:r w:rsidRPr="001720E3">
              <w:t>I29</w:t>
            </w:r>
          </w:p>
        </w:tc>
      </w:tr>
    </w:tbl>
    <w:p w14:paraId="00208290" w14:textId="056932B7" w:rsidR="00752F32" w:rsidRPr="001720E3" w:rsidRDefault="00752F32" w:rsidP="001720E3">
      <w:pPr>
        <w:spacing w:line="360" w:lineRule="auto"/>
        <w:jc w:val="center"/>
        <w:rPr>
          <w:lang w:val="es-ES"/>
        </w:rPr>
      </w:pPr>
      <w:r w:rsidRPr="001720E3">
        <w:rPr>
          <w:iCs/>
          <w:lang w:val="es-ES"/>
        </w:rPr>
        <w:t>Nota:</w:t>
      </w:r>
      <w:r w:rsidRPr="001720E3">
        <w:rPr>
          <w:lang w:val="es-ES"/>
        </w:rPr>
        <w:t xml:space="preserve"> I es igual a ítem; el número corresponde al ítem.</w:t>
      </w:r>
    </w:p>
    <w:p w14:paraId="7A3D902C" w14:textId="77777777" w:rsidR="00752F32" w:rsidRPr="00CF0DDC" w:rsidRDefault="00752F32" w:rsidP="001720E3">
      <w:pPr>
        <w:spacing w:line="360" w:lineRule="auto"/>
        <w:jc w:val="center"/>
        <w:rPr>
          <w:lang w:val="es-ES"/>
        </w:rPr>
      </w:pPr>
      <w:r w:rsidRPr="00CF0DDC">
        <w:rPr>
          <w:lang w:val="es-ES"/>
        </w:rPr>
        <w:t>Fuente: Elaboración propia</w:t>
      </w:r>
    </w:p>
    <w:p w14:paraId="26D0DB3A" w14:textId="3E6E56E5" w:rsidR="00752F32" w:rsidRDefault="00752F32" w:rsidP="001720E3">
      <w:pPr>
        <w:spacing w:line="360" w:lineRule="auto"/>
        <w:ind w:firstLine="708"/>
        <w:jc w:val="both"/>
        <w:rPr>
          <w:lang w:val="es-ES"/>
        </w:rPr>
      </w:pPr>
      <w:r w:rsidRPr="00CF0DDC">
        <w:rPr>
          <w:lang w:val="es-ES"/>
        </w:rPr>
        <w:t>El objetivo específico uno del estudio se centró en la validez de contenido del instrumento, para lo cual se llevó a cabo un panel de expertos conforme a la metodología descrita por De Clifford</w:t>
      </w:r>
      <w:r w:rsidR="007377C2" w:rsidRPr="007377C2">
        <w:rPr>
          <w:lang w:val="en-US"/>
        </w:rPr>
        <w:t>-Faugère</w:t>
      </w:r>
      <w:r w:rsidRPr="00CF0DDC">
        <w:rPr>
          <w:lang w:val="es-ES"/>
        </w:rPr>
        <w:t xml:space="preserve"> </w:t>
      </w:r>
      <w:r w:rsidRPr="00CF0DDC">
        <w:rPr>
          <w:i/>
          <w:lang w:val="es-ES"/>
        </w:rPr>
        <w:t>et al</w:t>
      </w:r>
      <w:r w:rsidRPr="00CF0DDC">
        <w:rPr>
          <w:lang w:val="es-ES"/>
        </w:rPr>
        <w:t xml:space="preserve">. (2022). Este panel estuvo compuesto por 20 personas con experiencia en áreas de investigación de calidad y gestión de organizaciones, quienes ocupan roles directivos en </w:t>
      </w:r>
      <w:r w:rsidRPr="00CF0DDC">
        <w:rPr>
          <w:lang w:val="es-ES"/>
        </w:rPr>
        <w:lastRenderedPageBreak/>
        <w:t xml:space="preserve">áreas de calidad. Los 20 panelistas son afiliados a la Universidad Juárez del Estado de Durango, y la reunión se </w:t>
      </w:r>
      <w:r>
        <w:rPr>
          <w:lang w:val="es-ES"/>
        </w:rPr>
        <w:t>efectuó</w:t>
      </w:r>
      <w:r w:rsidRPr="00CF0DDC">
        <w:rPr>
          <w:lang w:val="es-ES"/>
        </w:rPr>
        <w:t xml:space="preserve"> en una institución de educación superior.</w:t>
      </w:r>
    </w:p>
    <w:p w14:paraId="35770FDF" w14:textId="2C7835AF" w:rsidR="00752F32" w:rsidRDefault="00752F32" w:rsidP="001720E3">
      <w:pPr>
        <w:spacing w:line="360" w:lineRule="auto"/>
        <w:ind w:firstLine="708"/>
        <w:jc w:val="both"/>
        <w:rPr>
          <w:lang w:val="es-ES"/>
        </w:rPr>
      </w:pPr>
      <w:r w:rsidRPr="00CF0DDC">
        <w:rPr>
          <w:lang w:val="es-ES"/>
        </w:rPr>
        <w:t>Cada ítem del instrumento fue evaluado utilizando los criterios de claridad, pertinencia y relevancia</w:t>
      </w:r>
      <w:r>
        <w:rPr>
          <w:lang w:val="es-ES"/>
        </w:rPr>
        <w:t xml:space="preserve"> (</w:t>
      </w:r>
      <w:r w:rsidRPr="00CF0DDC">
        <w:rPr>
          <w:lang w:val="es-ES"/>
        </w:rPr>
        <w:t>Martínez</w:t>
      </w:r>
      <w:r w:rsidR="007377C2" w:rsidRPr="007478FD">
        <w:t>-Ques</w:t>
      </w:r>
      <w:r w:rsidRPr="00CF0DDC">
        <w:rPr>
          <w:lang w:val="es-ES"/>
        </w:rPr>
        <w:t xml:space="preserve"> </w:t>
      </w:r>
      <w:r w:rsidRPr="00CF0DDC">
        <w:rPr>
          <w:i/>
          <w:lang w:val="es-ES"/>
        </w:rPr>
        <w:t>et al</w:t>
      </w:r>
      <w:r w:rsidRPr="00CF0DDC">
        <w:rPr>
          <w:lang w:val="es-ES"/>
        </w:rPr>
        <w:t>.</w:t>
      </w:r>
      <w:r>
        <w:rPr>
          <w:lang w:val="es-ES"/>
        </w:rPr>
        <w:t>,</w:t>
      </w:r>
      <w:r w:rsidRPr="00CF0DDC">
        <w:rPr>
          <w:lang w:val="es-ES"/>
        </w:rPr>
        <w:t xml:space="preserve"> 2022). Para ello, se empleó una escala tipo Likert, donde el valor uno representaba </w:t>
      </w:r>
      <w:r w:rsidRPr="003D641D">
        <w:rPr>
          <w:lang w:val="es-ES"/>
        </w:rPr>
        <w:t>“</w:t>
      </w:r>
      <w:r w:rsidRPr="00CF0DDC">
        <w:rPr>
          <w:lang w:val="es-ES"/>
        </w:rPr>
        <w:t>muy en desacuerdo</w:t>
      </w:r>
      <w:r w:rsidRPr="003D641D">
        <w:rPr>
          <w:lang w:val="es-ES"/>
        </w:rPr>
        <w:t>”</w:t>
      </w:r>
      <w:r w:rsidRPr="00CF0DDC">
        <w:rPr>
          <w:lang w:val="es-ES"/>
        </w:rPr>
        <w:t xml:space="preserve">, el dos </w:t>
      </w:r>
      <w:r w:rsidRPr="003D641D">
        <w:rPr>
          <w:lang w:val="es-ES"/>
        </w:rPr>
        <w:t>“</w:t>
      </w:r>
      <w:r w:rsidRPr="00CF0DDC">
        <w:rPr>
          <w:lang w:val="es-ES"/>
        </w:rPr>
        <w:t>en desacuerdo</w:t>
      </w:r>
      <w:r w:rsidRPr="003D641D">
        <w:rPr>
          <w:lang w:val="es-ES"/>
        </w:rPr>
        <w:t>”</w:t>
      </w:r>
      <w:r w:rsidRPr="00CF0DDC">
        <w:rPr>
          <w:lang w:val="es-ES"/>
        </w:rPr>
        <w:t xml:space="preserve">, el tres </w:t>
      </w:r>
      <w:r w:rsidRPr="003D641D">
        <w:rPr>
          <w:lang w:val="es-ES"/>
        </w:rPr>
        <w:t>“</w:t>
      </w:r>
      <w:r w:rsidRPr="00CF0DDC">
        <w:rPr>
          <w:lang w:val="es-ES"/>
        </w:rPr>
        <w:t>ni en desacuerdo ni de acuerdo</w:t>
      </w:r>
      <w:r w:rsidRPr="003D641D">
        <w:rPr>
          <w:lang w:val="es-ES"/>
        </w:rPr>
        <w:t>”</w:t>
      </w:r>
      <w:r w:rsidRPr="00CF0DDC">
        <w:rPr>
          <w:lang w:val="es-ES"/>
        </w:rPr>
        <w:t xml:space="preserve">, el cuatro </w:t>
      </w:r>
      <w:r w:rsidRPr="003D641D">
        <w:rPr>
          <w:lang w:val="es-ES"/>
        </w:rPr>
        <w:t>“</w:t>
      </w:r>
      <w:r w:rsidRPr="00CF0DDC">
        <w:rPr>
          <w:lang w:val="es-ES"/>
        </w:rPr>
        <w:t>de acuerdo</w:t>
      </w:r>
      <w:r w:rsidRPr="003D641D">
        <w:rPr>
          <w:lang w:val="es-ES"/>
        </w:rPr>
        <w:t>”</w:t>
      </w:r>
      <w:r w:rsidRPr="00CF0DDC">
        <w:rPr>
          <w:lang w:val="es-ES"/>
        </w:rPr>
        <w:t xml:space="preserve"> y el cinco </w:t>
      </w:r>
      <w:r w:rsidRPr="003D641D">
        <w:rPr>
          <w:lang w:val="es-ES"/>
        </w:rPr>
        <w:t>“</w:t>
      </w:r>
      <w:r w:rsidRPr="00CF0DDC">
        <w:rPr>
          <w:lang w:val="es-ES"/>
        </w:rPr>
        <w:t>muy de acuerdo</w:t>
      </w:r>
      <w:r w:rsidRPr="003D641D">
        <w:rPr>
          <w:lang w:val="es-ES"/>
        </w:rPr>
        <w:t>”</w:t>
      </w:r>
      <w:r>
        <w:rPr>
          <w:lang w:val="es-ES"/>
        </w:rPr>
        <w:t xml:space="preserve"> (</w:t>
      </w:r>
      <w:r w:rsidRPr="00CF0DDC">
        <w:rPr>
          <w:lang w:val="es-ES"/>
        </w:rPr>
        <w:t>Sánchez</w:t>
      </w:r>
      <w:r w:rsidR="007377C2" w:rsidRPr="007478FD">
        <w:t>-Sánchez</w:t>
      </w:r>
      <w:r>
        <w:rPr>
          <w:lang w:val="es-ES"/>
        </w:rPr>
        <w:t>,</w:t>
      </w:r>
      <w:r w:rsidRPr="00CF0DDC">
        <w:rPr>
          <w:lang w:val="es-ES"/>
        </w:rPr>
        <w:t xml:space="preserve"> 2021)</w:t>
      </w:r>
      <w:r>
        <w:rPr>
          <w:lang w:val="es-ES"/>
        </w:rPr>
        <w:t>,</w:t>
      </w:r>
      <w:r w:rsidRPr="00CF0DDC">
        <w:rPr>
          <w:lang w:val="es-ES"/>
        </w:rPr>
        <w:t xml:space="preserve"> escala comúnmente utilizada en el área de las ciencias sociales </w:t>
      </w:r>
      <w:r>
        <w:rPr>
          <w:lang w:val="es-ES"/>
        </w:rPr>
        <w:t>(</w:t>
      </w:r>
      <w:r w:rsidRPr="00CF0DDC">
        <w:rPr>
          <w:lang w:val="es-ES"/>
        </w:rPr>
        <w:t>Matas</w:t>
      </w:r>
      <w:r>
        <w:rPr>
          <w:lang w:val="es-ES"/>
        </w:rPr>
        <w:t>,</w:t>
      </w:r>
      <w:r w:rsidRPr="00CF0DDC">
        <w:rPr>
          <w:lang w:val="es-ES"/>
        </w:rPr>
        <w:t xml:space="preserve"> 2018).</w:t>
      </w:r>
    </w:p>
    <w:p w14:paraId="33A8A2A6" w14:textId="77777777" w:rsidR="00752F32" w:rsidRDefault="00752F32" w:rsidP="001720E3">
      <w:pPr>
        <w:spacing w:line="360" w:lineRule="auto"/>
        <w:ind w:firstLine="708"/>
        <w:jc w:val="both"/>
        <w:rPr>
          <w:lang w:val="es-ES"/>
        </w:rPr>
      </w:pPr>
      <w:r w:rsidRPr="00CF0DDC">
        <w:rPr>
          <w:lang w:val="es-ES"/>
        </w:rPr>
        <w:t xml:space="preserve">Tras realizar el panel de expertos, el análisis de las recomendaciones llevó a una reducción en el número de preguntas del instrumento </w:t>
      </w:r>
      <w:r>
        <w:rPr>
          <w:lang w:val="es-ES"/>
        </w:rPr>
        <w:t>(</w:t>
      </w:r>
      <w:r w:rsidRPr="00CF0DDC">
        <w:rPr>
          <w:lang w:val="es-ES"/>
        </w:rPr>
        <w:t>de 43 a 29</w:t>
      </w:r>
      <w:r>
        <w:rPr>
          <w:lang w:val="es-ES"/>
        </w:rPr>
        <w:t>)</w:t>
      </w:r>
      <w:r w:rsidRPr="00CF0DDC">
        <w:rPr>
          <w:lang w:val="es-ES"/>
        </w:rPr>
        <w:t>. Posteriormente, se procedió a realizar una prueba piloto, también utilizando una escala tipo Likert como la anteriormente mencionada.</w:t>
      </w:r>
    </w:p>
    <w:p w14:paraId="67747C77" w14:textId="01577FB2" w:rsidR="00752F32" w:rsidRDefault="00752F32" w:rsidP="001720E3">
      <w:pPr>
        <w:spacing w:line="360" w:lineRule="auto"/>
        <w:ind w:firstLine="708"/>
        <w:jc w:val="both"/>
        <w:rPr>
          <w:lang w:val="es-ES"/>
        </w:rPr>
      </w:pPr>
      <w:r w:rsidRPr="00CF0DDC">
        <w:rPr>
          <w:lang w:val="es-ES"/>
        </w:rPr>
        <w:t xml:space="preserve">La muestra </w:t>
      </w:r>
      <w:r>
        <w:rPr>
          <w:lang w:val="es-ES"/>
        </w:rPr>
        <w:t>elegida</w:t>
      </w:r>
      <w:r w:rsidRPr="00CF0DDC">
        <w:rPr>
          <w:lang w:val="es-ES"/>
        </w:rPr>
        <w:t xml:space="preserve"> en el estudio fue determinística, seleccionada según la necesidad del estudio </w:t>
      </w:r>
      <w:r>
        <w:rPr>
          <w:lang w:val="es-ES"/>
        </w:rPr>
        <w:t>(</w:t>
      </w:r>
      <w:r w:rsidRPr="00CF0DDC">
        <w:rPr>
          <w:lang w:val="es-ES"/>
        </w:rPr>
        <w:t>Sánchez</w:t>
      </w:r>
      <w:r w:rsidR="007377C2" w:rsidRPr="007478FD">
        <w:t>-Correa</w:t>
      </w:r>
      <w:r w:rsidRPr="00CF0DDC">
        <w:rPr>
          <w:lang w:val="es-ES"/>
        </w:rPr>
        <w:t xml:space="preserve"> </w:t>
      </w:r>
      <w:r w:rsidRPr="00CF0DDC">
        <w:rPr>
          <w:i/>
          <w:lang w:val="es-ES"/>
        </w:rPr>
        <w:t>et al</w:t>
      </w:r>
      <w:r w:rsidRPr="00CF0DDC">
        <w:rPr>
          <w:lang w:val="es-ES"/>
        </w:rPr>
        <w:t>.</w:t>
      </w:r>
      <w:r>
        <w:rPr>
          <w:lang w:val="es-ES"/>
        </w:rPr>
        <w:t>,</w:t>
      </w:r>
      <w:r w:rsidRPr="00CF0DDC">
        <w:rPr>
          <w:lang w:val="es-ES"/>
        </w:rPr>
        <w:t xml:space="preserve"> 2021), e incluyó la participación de 70 personas pertenecientes a organizaciones públicas, privadas y sociales. El cuestionario se distribuyó a través de Google Forms, y aunque no fue respondido por la totalidad de los individuos, para efectos de la prueba piloto se decidió trabajar con 58 cuestionarios contestados.</w:t>
      </w:r>
    </w:p>
    <w:p w14:paraId="7AD7C9FA" w14:textId="77203309" w:rsidR="00752F32" w:rsidRDefault="00752F32" w:rsidP="001720E3">
      <w:pPr>
        <w:spacing w:line="360" w:lineRule="auto"/>
        <w:ind w:firstLine="708"/>
        <w:jc w:val="both"/>
        <w:rPr>
          <w:lang w:val="es-ES"/>
        </w:rPr>
      </w:pPr>
      <w:r w:rsidRPr="00CF0DDC">
        <w:rPr>
          <w:lang w:val="es-ES"/>
        </w:rPr>
        <w:t>Para cumplir con el objetivo específico dos, que consistía en validar el constructo del instrumento, se utilizó el análisis factorial utilizando la técnica KMO y la prueba de esfericidad de Bartlett. Según Almenares</w:t>
      </w:r>
      <w:r w:rsidR="007377C2" w:rsidRPr="007478FD">
        <w:t>-Rodríguez</w:t>
      </w:r>
      <w:r w:rsidRPr="00CF0DDC">
        <w:rPr>
          <w:lang w:val="es-ES"/>
        </w:rPr>
        <w:t xml:space="preserve"> </w:t>
      </w:r>
      <w:r w:rsidRPr="00CF0DDC">
        <w:rPr>
          <w:i/>
          <w:lang w:val="es-ES"/>
        </w:rPr>
        <w:t>et al</w:t>
      </w:r>
      <w:r w:rsidRPr="00CF0DDC">
        <w:rPr>
          <w:lang w:val="es-ES"/>
        </w:rPr>
        <w:t xml:space="preserve">. (2022), el análisis factorial verifica que las variables respondan a la teoría que sustenta la encuesta. </w:t>
      </w:r>
      <w:r>
        <w:rPr>
          <w:lang w:val="es-ES"/>
        </w:rPr>
        <w:t xml:space="preserve">Por otra parte, </w:t>
      </w:r>
      <w:r w:rsidRPr="00CF0DDC">
        <w:rPr>
          <w:lang w:val="es-ES"/>
        </w:rPr>
        <w:t xml:space="preserve">se empleó </w:t>
      </w:r>
      <w:r>
        <w:rPr>
          <w:lang w:val="es-ES"/>
        </w:rPr>
        <w:t>l</w:t>
      </w:r>
      <w:r w:rsidRPr="00CF0DDC">
        <w:rPr>
          <w:lang w:val="es-ES"/>
        </w:rPr>
        <w:t xml:space="preserve">a rotación Varimax para permitir una interpretación precisa de los componentes, </w:t>
      </w:r>
      <w:r>
        <w:rPr>
          <w:lang w:val="es-ES"/>
        </w:rPr>
        <w:t>de modo que se pudiera ponderar</w:t>
      </w:r>
      <w:r w:rsidRPr="00CF0DDC">
        <w:rPr>
          <w:lang w:val="es-ES"/>
        </w:rPr>
        <w:t xml:space="preserve"> el peso de los coeficientes entre variables y factores </w:t>
      </w:r>
      <w:r>
        <w:rPr>
          <w:lang w:val="es-ES"/>
        </w:rPr>
        <w:t>(</w:t>
      </w:r>
      <w:r w:rsidRPr="00CF0DDC">
        <w:rPr>
          <w:lang w:val="es-ES"/>
        </w:rPr>
        <w:t>Contreras</w:t>
      </w:r>
      <w:r w:rsidR="007377C2" w:rsidRPr="007478FD">
        <w:rPr>
          <w:rStyle w:val="Hipervnculo"/>
          <w:color w:val="auto"/>
          <w:u w:val="none"/>
        </w:rPr>
        <w:t>-Bravo y González-Méndez</w:t>
      </w:r>
      <w:r>
        <w:rPr>
          <w:lang w:val="es-ES"/>
        </w:rPr>
        <w:t>,</w:t>
      </w:r>
      <w:r w:rsidRPr="00CF0DDC">
        <w:rPr>
          <w:lang w:val="es-ES"/>
        </w:rPr>
        <w:t xml:space="preserve"> 2022). Este método facilita la independencia entre componentes mediante la matriz de componentes rotados y el método de rotación Varimax, lo que permite determinar la carga factorial de cada uno de los ítems y agruparlos para un mejor análisis por componente </w:t>
      </w:r>
      <w:r>
        <w:rPr>
          <w:lang w:val="es-ES"/>
        </w:rPr>
        <w:t>(</w:t>
      </w:r>
      <w:r w:rsidRPr="00CF0DDC">
        <w:rPr>
          <w:lang w:val="es-ES"/>
        </w:rPr>
        <w:t>Barrera</w:t>
      </w:r>
      <w:r w:rsidR="007377C2" w:rsidRPr="007478FD">
        <w:rPr>
          <w:rStyle w:val="Hipervnculo"/>
          <w:color w:val="auto"/>
          <w:u w:val="none"/>
        </w:rPr>
        <w:t>-Ovando</w:t>
      </w:r>
      <w:r w:rsidRPr="00CF0DDC">
        <w:rPr>
          <w:lang w:val="es-ES"/>
        </w:rPr>
        <w:t xml:space="preserve"> </w:t>
      </w:r>
      <w:r w:rsidRPr="00CF0DDC">
        <w:rPr>
          <w:i/>
          <w:lang w:val="es-ES"/>
        </w:rPr>
        <w:t>et al</w:t>
      </w:r>
      <w:r w:rsidRPr="00CF0DDC">
        <w:rPr>
          <w:lang w:val="es-ES"/>
        </w:rPr>
        <w:t>.</w:t>
      </w:r>
      <w:r>
        <w:rPr>
          <w:lang w:val="es-ES"/>
        </w:rPr>
        <w:t>,</w:t>
      </w:r>
      <w:r w:rsidRPr="00CF0DDC">
        <w:rPr>
          <w:lang w:val="es-ES"/>
        </w:rPr>
        <w:t xml:space="preserve"> 2023).</w:t>
      </w:r>
    </w:p>
    <w:p w14:paraId="436C797A" w14:textId="7378FF36" w:rsidR="00752F32" w:rsidRPr="00CF0DDC" w:rsidRDefault="00752F32" w:rsidP="001720E3">
      <w:pPr>
        <w:spacing w:line="360" w:lineRule="auto"/>
        <w:ind w:firstLine="708"/>
        <w:jc w:val="both"/>
        <w:rPr>
          <w:lang w:val="es-ES"/>
        </w:rPr>
      </w:pPr>
      <w:r w:rsidRPr="00CF0DDC">
        <w:rPr>
          <w:lang w:val="es-ES"/>
        </w:rPr>
        <w:t xml:space="preserve">En relación con el tercer objetivo específico, se determinó la confiabilidad del instrumento mediante el coeficiente </w:t>
      </w:r>
      <w:r>
        <w:rPr>
          <w:lang w:val="es-ES"/>
        </w:rPr>
        <w:t>a</w:t>
      </w:r>
      <w:r w:rsidRPr="00CF0DDC">
        <w:rPr>
          <w:lang w:val="es-ES"/>
        </w:rPr>
        <w:t xml:space="preserve">lfa de Cronbach </w:t>
      </w:r>
      <w:r>
        <w:rPr>
          <w:lang w:val="es-ES"/>
        </w:rPr>
        <w:t>(</w:t>
      </w:r>
      <w:r w:rsidRPr="00CF0DDC">
        <w:rPr>
          <w:lang w:val="es-ES"/>
        </w:rPr>
        <w:t>Bonett y Wright</w:t>
      </w:r>
      <w:r>
        <w:rPr>
          <w:lang w:val="es-ES"/>
        </w:rPr>
        <w:t>,</w:t>
      </w:r>
      <w:r w:rsidRPr="00CF0DDC">
        <w:rPr>
          <w:lang w:val="es-ES"/>
        </w:rPr>
        <w:t xml:space="preserve"> 2014)</w:t>
      </w:r>
      <w:r>
        <w:rPr>
          <w:lang w:val="es-ES"/>
        </w:rPr>
        <w:t xml:space="preserve">, el cual </w:t>
      </w:r>
      <w:r w:rsidRPr="00CF0DDC">
        <w:rPr>
          <w:lang w:val="es-ES"/>
        </w:rPr>
        <w:t>es ampliamente utilizado en investigaciones en el área de ciencias sociales y organizacionales y tiene como objetivo medir la consistencia interna del instrumento</w:t>
      </w:r>
      <w:r>
        <w:rPr>
          <w:lang w:val="es-ES"/>
        </w:rPr>
        <w:t xml:space="preserve"> (</w:t>
      </w:r>
      <w:r w:rsidRPr="00CF0DDC">
        <w:rPr>
          <w:lang w:val="es-ES"/>
        </w:rPr>
        <w:t>Dueñas</w:t>
      </w:r>
      <w:r w:rsidR="007377C2" w:rsidRPr="007478FD">
        <w:rPr>
          <w:rStyle w:val="Hipervnculo"/>
          <w:color w:val="auto"/>
          <w:u w:val="none"/>
          <w:lang w:val="en-US"/>
        </w:rPr>
        <w:t>-Peña</w:t>
      </w:r>
      <w:r w:rsidRPr="00CF0DDC">
        <w:rPr>
          <w:lang w:val="es-ES"/>
        </w:rPr>
        <w:t xml:space="preserve"> </w:t>
      </w:r>
      <w:r w:rsidRPr="00CF0DDC">
        <w:rPr>
          <w:i/>
          <w:lang w:val="es-ES"/>
        </w:rPr>
        <w:t>et al</w:t>
      </w:r>
      <w:r w:rsidRPr="00CF0DDC">
        <w:rPr>
          <w:lang w:val="es-ES"/>
        </w:rPr>
        <w:t>.</w:t>
      </w:r>
      <w:r>
        <w:rPr>
          <w:lang w:val="es-ES"/>
        </w:rPr>
        <w:t>,</w:t>
      </w:r>
      <w:r w:rsidRPr="00CF0DDC">
        <w:rPr>
          <w:lang w:val="es-ES"/>
        </w:rPr>
        <w:t xml:space="preserve"> 2022).</w:t>
      </w:r>
    </w:p>
    <w:p w14:paraId="086EE6FD" w14:textId="77777777" w:rsidR="00752F32" w:rsidRDefault="00752F32" w:rsidP="001720E3">
      <w:pPr>
        <w:spacing w:after="160" w:line="360" w:lineRule="auto"/>
        <w:ind w:firstLine="567"/>
        <w:jc w:val="both"/>
        <w:rPr>
          <w:lang w:val="es-ES"/>
        </w:rPr>
      </w:pPr>
    </w:p>
    <w:p w14:paraId="5895FC1C" w14:textId="77777777" w:rsidR="004E1440" w:rsidRDefault="004E1440" w:rsidP="001720E3">
      <w:pPr>
        <w:spacing w:after="160" w:line="360" w:lineRule="auto"/>
        <w:ind w:firstLine="567"/>
        <w:jc w:val="both"/>
        <w:rPr>
          <w:lang w:val="es-ES"/>
        </w:rPr>
      </w:pPr>
    </w:p>
    <w:p w14:paraId="45BB726A" w14:textId="77777777" w:rsidR="004E1440" w:rsidRDefault="004E1440" w:rsidP="001720E3">
      <w:pPr>
        <w:spacing w:after="160" w:line="360" w:lineRule="auto"/>
        <w:ind w:firstLine="567"/>
        <w:jc w:val="both"/>
        <w:rPr>
          <w:lang w:val="es-ES"/>
        </w:rPr>
      </w:pPr>
    </w:p>
    <w:p w14:paraId="6D5ACC5F" w14:textId="77777777" w:rsidR="004E1440" w:rsidRPr="004B4CF7" w:rsidRDefault="004E1440" w:rsidP="001720E3">
      <w:pPr>
        <w:spacing w:after="160" w:line="360" w:lineRule="auto"/>
        <w:ind w:firstLine="567"/>
        <w:jc w:val="both"/>
        <w:rPr>
          <w:lang w:val="es-ES"/>
        </w:rPr>
      </w:pPr>
    </w:p>
    <w:p w14:paraId="1D150725" w14:textId="77777777" w:rsidR="00982C12" w:rsidRPr="004B4CF7" w:rsidRDefault="00982C12" w:rsidP="001720E3">
      <w:pPr>
        <w:spacing w:line="360" w:lineRule="auto"/>
        <w:jc w:val="center"/>
        <w:rPr>
          <w:b/>
          <w:sz w:val="32"/>
          <w:lang w:val="es-ES"/>
        </w:rPr>
      </w:pPr>
      <w:r w:rsidRPr="004B4CF7">
        <w:rPr>
          <w:b/>
          <w:sz w:val="32"/>
          <w:lang w:val="es-ES"/>
        </w:rPr>
        <w:lastRenderedPageBreak/>
        <w:t>Resultados</w:t>
      </w:r>
    </w:p>
    <w:p w14:paraId="4ABFD515" w14:textId="77777777" w:rsidR="00982C12" w:rsidRPr="004B4CF7" w:rsidRDefault="00982C12" w:rsidP="001720E3">
      <w:pPr>
        <w:spacing w:line="360" w:lineRule="auto"/>
        <w:jc w:val="center"/>
        <w:rPr>
          <w:b/>
          <w:sz w:val="28"/>
          <w:lang w:val="es-ES"/>
        </w:rPr>
      </w:pPr>
      <w:r w:rsidRPr="004B4CF7">
        <w:rPr>
          <w:b/>
          <w:sz w:val="28"/>
          <w:lang w:val="es-ES"/>
        </w:rPr>
        <w:t>Validez de contenido</w:t>
      </w:r>
    </w:p>
    <w:p w14:paraId="5619D9E7" w14:textId="77777777" w:rsidR="00752F32" w:rsidRDefault="00752F32" w:rsidP="001720E3">
      <w:pPr>
        <w:spacing w:line="360" w:lineRule="auto"/>
        <w:ind w:firstLine="708"/>
        <w:jc w:val="both"/>
        <w:rPr>
          <w:lang w:val="es-ES"/>
        </w:rPr>
      </w:pPr>
      <w:r w:rsidRPr="00CF0DDC">
        <w:rPr>
          <w:lang w:val="es-ES"/>
        </w:rPr>
        <w:t>El panel de expertos se encargó de evaluar aspectos estructurales del instrumento, tales como preguntas con elementos capciosos, confusas o engañosas</w:t>
      </w:r>
      <w:r>
        <w:rPr>
          <w:lang w:val="es-ES"/>
        </w:rPr>
        <w:t xml:space="preserve"> (</w:t>
      </w:r>
      <w:r w:rsidRPr="00CF0DDC">
        <w:rPr>
          <w:lang w:val="es-ES"/>
        </w:rPr>
        <w:t>Elangovan y Sundaravel</w:t>
      </w:r>
      <w:r>
        <w:rPr>
          <w:lang w:val="es-ES"/>
        </w:rPr>
        <w:t>,</w:t>
      </w:r>
      <w:r w:rsidRPr="00CF0DDC">
        <w:rPr>
          <w:lang w:val="es-ES"/>
        </w:rPr>
        <w:t xml:space="preserve"> 2021). Los resultados de la evaluación de los 43 ítems incluyeron acciones como agrupar ítems que tenían el mismo objetivo, replantear ítems en su redacción, reducir la extensión del instrumento, evitar preguntas que abordaran dos temas en un mismo ítem y </w:t>
      </w:r>
      <w:r>
        <w:rPr>
          <w:lang w:val="es-ES"/>
        </w:rPr>
        <w:t>limitar</w:t>
      </w:r>
      <w:r w:rsidRPr="00CF0DDC">
        <w:rPr>
          <w:lang w:val="es-ES"/>
        </w:rPr>
        <w:t xml:space="preserve"> el uso de tecnicismos para mejorar la comprensión. </w:t>
      </w:r>
      <w:r>
        <w:rPr>
          <w:lang w:val="es-ES"/>
        </w:rPr>
        <w:t>Para eso, s</w:t>
      </w:r>
      <w:r w:rsidRPr="00CF0DDC">
        <w:rPr>
          <w:lang w:val="es-ES"/>
        </w:rPr>
        <w:t>e tomaron en cuenta las recomendaciones y sugerencias de los expertos, lo que resultó en un instrumento final compuesto por 29 ítems.</w:t>
      </w:r>
    </w:p>
    <w:p w14:paraId="38C95A52" w14:textId="78306CD8" w:rsidR="00752F32" w:rsidRDefault="00752F32" w:rsidP="001720E3">
      <w:pPr>
        <w:spacing w:line="360" w:lineRule="auto"/>
        <w:ind w:firstLine="708"/>
        <w:jc w:val="both"/>
        <w:rPr>
          <w:lang w:val="es-ES"/>
        </w:rPr>
      </w:pPr>
      <w:r w:rsidRPr="00CF0DDC">
        <w:rPr>
          <w:lang w:val="es-ES"/>
        </w:rPr>
        <w:t>Por ejemplo, en el estudio de Medina</w:t>
      </w:r>
      <w:r w:rsidR="007377C2" w:rsidRPr="007478FD">
        <w:t>-Parra</w:t>
      </w:r>
      <w:r w:rsidRPr="00CF0DDC">
        <w:rPr>
          <w:lang w:val="es-ES"/>
        </w:rPr>
        <w:t xml:space="preserve"> (2020) se concluyó que se debían eliminar seis ítems que no cumplían con los criterios evaluados por los expertos, lo que resultó en una reducción del número de ítems en el instrumento. De manera similar, en el </w:t>
      </w:r>
      <w:r>
        <w:rPr>
          <w:lang w:val="es-ES"/>
        </w:rPr>
        <w:t>trabajo</w:t>
      </w:r>
      <w:r w:rsidRPr="00CF0DDC">
        <w:rPr>
          <w:lang w:val="es-ES"/>
        </w:rPr>
        <w:t xml:space="preserve"> de Bernal</w:t>
      </w:r>
      <w:r w:rsidR="007377C2" w:rsidRPr="007478FD">
        <w:rPr>
          <w:rStyle w:val="Hipervnculo"/>
          <w:color w:val="auto"/>
          <w:u w:val="none"/>
        </w:rPr>
        <w:t>-García</w:t>
      </w:r>
      <w:r w:rsidRPr="00CF0DDC">
        <w:rPr>
          <w:lang w:val="es-ES"/>
        </w:rPr>
        <w:t xml:space="preserve"> </w:t>
      </w:r>
      <w:r w:rsidRPr="00CF0DDC">
        <w:rPr>
          <w:i/>
          <w:lang w:val="es-ES"/>
        </w:rPr>
        <w:t>et al</w:t>
      </w:r>
      <w:r w:rsidRPr="00CF0DDC">
        <w:rPr>
          <w:lang w:val="es-ES"/>
        </w:rPr>
        <w:t xml:space="preserve">. (2018), se eliminaron 16 ítems, se ajustaron las dimensiones del instrumento y se corrigieron seis ítems en su redacción en respuesta a las sugerencias de los expertos. Asimismo, en </w:t>
      </w:r>
      <w:r>
        <w:rPr>
          <w:lang w:val="es-ES"/>
        </w:rPr>
        <w:t>la investigación de</w:t>
      </w:r>
      <w:r w:rsidRPr="00CF0DDC">
        <w:rPr>
          <w:lang w:val="es-ES"/>
        </w:rPr>
        <w:t xml:space="preserve"> Borboa</w:t>
      </w:r>
      <w:r w:rsidR="007377C2" w:rsidRPr="007478FD">
        <w:rPr>
          <w:rStyle w:val="Hipervnculo"/>
          <w:color w:val="auto"/>
          <w:u w:val="none"/>
        </w:rPr>
        <w:t>-Álvarez y Delhumeau-Rivera</w:t>
      </w:r>
      <w:r w:rsidRPr="00CF0DDC">
        <w:rPr>
          <w:lang w:val="es-ES"/>
        </w:rPr>
        <w:t xml:space="preserve"> (2016) se fusionaron preguntas basándose en las observaciones de los panelistas y también se eliminaron ítems. En el caso específico de este estudio, aunque no se recomendaron eliminar ítems, se realizaron los ajustes correspondientes </w:t>
      </w:r>
      <w:r>
        <w:rPr>
          <w:lang w:val="es-ES"/>
        </w:rPr>
        <w:t>según</w:t>
      </w:r>
      <w:r w:rsidRPr="00CF0DDC">
        <w:rPr>
          <w:lang w:val="es-ES"/>
        </w:rPr>
        <w:t xml:space="preserve"> las sugerencias de los expertos.</w:t>
      </w:r>
    </w:p>
    <w:p w14:paraId="5011CE08" w14:textId="77777777" w:rsidR="00752F32" w:rsidRPr="004B4CF7" w:rsidRDefault="00752F32" w:rsidP="001720E3">
      <w:pPr>
        <w:spacing w:line="360" w:lineRule="auto"/>
        <w:ind w:firstLine="709"/>
        <w:jc w:val="both"/>
      </w:pPr>
    </w:p>
    <w:p w14:paraId="7DC77366" w14:textId="77777777" w:rsidR="00982C12" w:rsidRPr="004B4CF7" w:rsidRDefault="00982C12" w:rsidP="001720E3">
      <w:pPr>
        <w:spacing w:line="360" w:lineRule="auto"/>
        <w:jc w:val="center"/>
        <w:rPr>
          <w:b/>
          <w:sz w:val="28"/>
          <w:lang w:val="es-ES"/>
        </w:rPr>
      </w:pPr>
      <w:r w:rsidRPr="004B4CF7">
        <w:rPr>
          <w:b/>
          <w:sz w:val="28"/>
          <w:lang w:val="es-ES"/>
        </w:rPr>
        <w:t>Validez de constructo</w:t>
      </w:r>
    </w:p>
    <w:p w14:paraId="67A30E88" w14:textId="77777777" w:rsidR="00982C12" w:rsidRPr="004B4CF7" w:rsidRDefault="00982C12" w:rsidP="001720E3">
      <w:pPr>
        <w:spacing w:line="360" w:lineRule="auto"/>
        <w:jc w:val="center"/>
        <w:rPr>
          <w:b/>
          <w:lang w:val="es-ES"/>
        </w:rPr>
      </w:pPr>
      <w:r w:rsidRPr="004B4CF7">
        <w:rPr>
          <w:b/>
          <w:lang w:val="es-ES"/>
        </w:rPr>
        <w:t>Análisis factorial</w:t>
      </w:r>
    </w:p>
    <w:p w14:paraId="4B438E10" w14:textId="58736E08" w:rsidR="00AC3704" w:rsidRDefault="00AC3704" w:rsidP="001720E3">
      <w:pPr>
        <w:spacing w:line="360" w:lineRule="auto"/>
        <w:ind w:firstLine="708"/>
        <w:jc w:val="both"/>
        <w:rPr>
          <w:lang w:val="es-ES"/>
        </w:rPr>
      </w:pPr>
      <w:r w:rsidRPr="00CF0DDC">
        <w:rPr>
          <w:lang w:val="es-ES"/>
        </w:rPr>
        <w:t xml:space="preserve">La validez del constructo se sustenta en un valor de KMO (Kaiser-Meyer-Olkin) de 0.738, que supera el umbral mínimo aceptable de 0.5 </w:t>
      </w:r>
      <w:r>
        <w:rPr>
          <w:lang w:val="es-ES"/>
        </w:rPr>
        <w:t>(</w:t>
      </w:r>
      <w:r w:rsidRPr="00CF0DDC">
        <w:rPr>
          <w:lang w:val="es-ES"/>
        </w:rPr>
        <w:t>Martínez</w:t>
      </w:r>
      <w:r w:rsidR="007377C2" w:rsidRPr="007377C2">
        <w:t>-Ques</w:t>
      </w:r>
      <w:r w:rsidRPr="00CF0DDC">
        <w:rPr>
          <w:lang w:val="es-ES"/>
        </w:rPr>
        <w:t xml:space="preserve"> </w:t>
      </w:r>
      <w:r w:rsidRPr="00CF0DDC">
        <w:rPr>
          <w:i/>
          <w:lang w:val="es-ES"/>
        </w:rPr>
        <w:t>et al</w:t>
      </w:r>
      <w:r w:rsidRPr="00CF0DDC">
        <w:rPr>
          <w:lang w:val="es-ES"/>
        </w:rPr>
        <w:t>.</w:t>
      </w:r>
      <w:r>
        <w:rPr>
          <w:lang w:val="es-ES"/>
        </w:rPr>
        <w:t>,</w:t>
      </w:r>
      <w:r w:rsidRPr="00CF0DDC">
        <w:rPr>
          <w:lang w:val="es-ES"/>
        </w:rPr>
        <w:t xml:space="preserve"> 2022). Para Hong y Yan (2022), un coeficiente de 0.6 puede considerarse aceptable</w:t>
      </w:r>
      <w:r>
        <w:rPr>
          <w:lang w:val="es-ES"/>
        </w:rPr>
        <w:t>, mientras que e</w:t>
      </w:r>
      <w:r w:rsidRPr="00CF0DDC">
        <w:rPr>
          <w:lang w:val="es-ES"/>
        </w:rPr>
        <w:t>l KMO obtenido en este estudio cumple con el requisito estadístico para la adecuación muestral.</w:t>
      </w:r>
    </w:p>
    <w:p w14:paraId="79ADCAB5" w14:textId="22D20CCC" w:rsidR="00AC3704" w:rsidRDefault="00AC3704" w:rsidP="001720E3">
      <w:pPr>
        <w:spacing w:line="360" w:lineRule="auto"/>
        <w:ind w:firstLine="708"/>
        <w:jc w:val="both"/>
        <w:rPr>
          <w:lang w:val="es-ES"/>
        </w:rPr>
      </w:pPr>
      <w:r w:rsidRPr="00CF0DDC">
        <w:rPr>
          <w:lang w:val="es-ES"/>
        </w:rPr>
        <w:t>La prueba de esfericidad de Bartlett contrasta la matriz identidad con la correlación observada, bajo la hipótesis nula (H0) de que las variables no están correlacionadas (valor p</w:t>
      </w:r>
      <w:r>
        <w:rPr>
          <w:lang w:val="es-ES"/>
        </w:rPr>
        <w:t> </w:t>
      </w:r>
      <w:r w:rsidRPr="00CF0DDC">
        <w:rPr>
          <w:lang w:val="es-ES"/>
        </w:rPr>
        <w:t>&gt; 0.05), y la hipótesis alternativa (H1) de que las variables están correlacionadas (valor p</w:t>
      </w:r>
      <w:r>
        <w:rPr>
          <w:lang w:val="es-ES"/>
        </w:rPr>
        <w:t> </w:t>
      </w:r>
      <w:r w:rsidRPr="00CF0DDC">
        <w:rPr>
          <w:lang w:val="es-ES"/>
        </w:rPr>
        <w:t>&lt;</w:t>
      </w:r>
      <w:r>
        <w:rPr>
          <w:lang w:val="es-ES"/>
        </w:rPr>
        <w:t> </w:t>
      </w:r>
      <w:r w:rsidRPr="00CF0DDC">
        <w:rPr>
          <w:lang w:val="es-ES"/>
        </w:rPr>
        <w:t xml:space="preserve">0.05) </w:t>
      </w:r>
      <w:r>
        <w:rPr>
          <w:lang w:val="es-ES"/>
        </w:rPr>
        <w:t>(</w:t>
      </w:r>
      <w:r w:rsidRPr="00CF0DDC">
        <w:rPr>
          <w:lang w:val="es-ES"/>
        </w:rPr>
        <w:t>Pizarro</w:t>
      </w:r>
      <w:r w:rsidR="007377C2" w:rsidRPr="007478FD">
        <w:rPr>
          <w:rStyle w:val="Hipervnculo"/>
          <w:color w:val="auto"/>
          <w:u w:val="none"/>
        </w:rPr>
        <w:t>-Romero y Martínez-Mora</w:t>
      </w:r>
      <w:r>
        <w:rPr>
          <w:lang w:val="es-ES"/>
        </w:rPr>
        <w:t>,</w:t>
      </w:r>
      <w:r w:rsidRPr="00CF0DDC">
        <w:rPr>
          <w:lang w:val="es-ES"/>
        </w:rPr>
        <w:t xml:space="preserve"> 2020). En este estudio, dado que el nivel de significancia es menor a 0.05, se rechaza la H0, lo que indica que la prueba de esfericidad de Bartlett es significativa (</w:t>
      </w:r>
      <w:r>
        <w:rPr>
          <w:lang w:val="es-ES"/>
        </w:rPr>
        <w:t>t</w:t>
      </w:r>
      <w:r w:rsidRPr="00CF0DDC">
        <w:rPr>
          <w:lang w:val="es-ES"/>
        </w:rPr>
        <w:t>abla 2).</w:t>
      </w:r>
      <w:r>
        <w:rPr>
          <w:lang w:val="es-ES"/>
        </w:rPr>
        <w:t xml:space="preserve"> </w:t>
      </w:r>
      <w:r w:rsidRPr="00CF0DDC">
        <w:rPr>
          <w:lang w:val="es-ES"/>
        </w:rPr>
        <w:t>Una vez cumplidos los criterios estadísticos mencionados, se concluye que el análisis factorial es factible para continuar con la validación del constructo del instrumento.</w:t>
      </w:r>
    </w:p>
    <w:p w14:paraId="1B468C39" w14:textId="77777777" w:rsidR="00AC3704" w:rsidRPr="00CF0DDC" w:rsidRDefault="00AC3704" w:rsidP="00AC3704">
      <w:pPr>
        <w:spacing w:before="160" w:line="360" w:lineRule="auto"/>
        <w:ind w:firstLine="708"/>
        <w:jc w:val="both"/>
        <w:rPr>
          <w:lang w:val="es-ES"/>
        </w:rPr>
      </w:pPr>
    </w:p>
    <w:p w14:paraId="7C7E33F4" w14:textId="77777777" w:rsidR="00AC3704" w:rsidRPr="00CF0DDC" w:rsidRDefault="00AC3704" w:rsidP="00AC3704">
      <w:pPr>
        <w:spacing w:before="160" w:line="360" w:lineRule="auto"/>
        <w:jc w:val="center"/>
      </w:pPr>
      <w:r w:rsidRPr="00CF0DDC">
        <w:rPr>
          <w:b/>
          <w:lang w:val="es-ES"/>
        </w:rPr>
        <w:lastRenderedPageBreak/>
        <w:t>Tabla 2.</w:t>
      </w:r>
      <w:r w:rsidRPr="00CF0DDC">
        <w:rPr>
          <w:lang w:val="es-ES"/>
        </w:rPr>
        <w:t xml:space="preserve"> Prueba de KMO y Esfericidad de Bartlett</w:t>
      </w:r>
    </w:p>
    <w:tbl>
      <w:tblPr>
        <w:tblW w:w="6087" w:type="dxa"/>
        <w:tblInd w:w="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91"/>
        <w:gridCol w:w="2491"/>
        <w:gridCol w:w="1105"/>
      </w:tblGrid>
      <w:tr w:rsidR="00AC3704" w:rsidRPr="002F576D" w14:paraId="0066FC04" w14:textId="77777777" w:rsidTr="00DE7C76">
        <w:trPr>
          <w:cantSplit/>
        </w:trPr>
        <w:tc>
          <w:tcPr>
            <w:tcW w:w="4982" w:type="dxa"/>
            <w:gridSpan w:val="2"/>
            <w:shd w:val="clear" w:color="auto" w:fill="FFFFFF"/>
            <w:vAlign w:val="center"/>
          </w:tcPr>
          <w:p w14:paraId="109C2243" w14:textId="77777777" w:rsidR="00AC3704" w:rsidRPr="002F576D" w:rsidRDefault="00AC3704" w:rsidP="00DE7C76">
            <w:pPr>
              <w:autoSpaceDE w:val="0"/>
              <w:autoSpaceDN w:val="0"/>
              <w:adjustRightInd w:val="0"/>
              <w:spacing w:line="360" w:lineRule="auto"/>
              <w:ind w:left="60" w:right="60"/>
              <w:jc w:val="both"/>
              <w:rPr>
                <w:color w:val="000000"/>
              </w:rPr>
            </w:pPr>
            <w:r w:rsidRPr="002F576D">
              <w:rPr>
                <w:color w:val="000000"/>
              </w:rPr>
              <w:t>Medida Kaiser-Meyer-Olkin de adecuación de muestreo</w:t>
            </w:r>
          </w:p>
        </w:tc>
        <w:tc>
          <w:tcPr>
            <w:tcW w:w="1105" w:type="dxa"/>
            <w:shd w:val="clear" w:color="auto" w:fill="FFFFFF"/>
            <w:vAlign w:val="center"/>
          </w:tcPr>
          <w:p w14:paraId="50DB1950" w14:textId="77777777" w:rsidR="00AC3704" w:rsidRPr="002F576D" w:rsidRDefault="00AC3704" w:rsidP="00DE7C76">
            <w:pPr>
              <w:autoSpaceDE w:val="0"/>
              <w:autoSpaceDN w:val="0"/>
              <w:adjustRightInd w:val="0"/>
              <w:spacing w:line="360" w:lineRule="auto"/>
              <w:ind w:left="60" w:right="60"/>
              <w:jc w:val="both"/>
              <w:rPr>
                <w:color w:val="000000"/>
              </w:rPr>
            </w:pPr>
            <w:r w:rsidRPr="002F576D">
              <w:rPr>
                <w:color w:val="000000"/>
              </w:rPr>
              <w:t>.738</w:t>
            </w:r>
          </w:p>
        </w:tc>
      </w:tr>
      <w:tr w:rsidR="00AC3704" w:rsidRPr="002F576D" w14:paraId="08E142C8" w14:textId="77777777" w:rsidTr="00DE7C76">
        <w:trPr>
          <w:cantSplit/>
        </w:trPr>
        <w:tc>
          <w:tcPr>
            <w:tcW w:w="2491" w:type="dxa"/>
            <w:vMerge w:val="restart"/>
            <w:shd w:val="clear" w:color="auto" w:fill="FFFFFF"/>
            <w:vAlign w:val="center"/>
          </w:tcPr>
          <w:p w14:paraId="09DED2CA" w14:textId="77777777" w:rsidR="00AC3704" w:rsidRPr="002F576D" w:rsidRDefault="00AC3704" w:rsidP="00DE7C76">
            <w:pPr>
              <w:autoSpaceDE w:val="0"/>
              <w:autoSpaceDN w:val="0"/>
              <w:adjustRightInd w:val="0"/>
              <w:spacing w:line="360" w:lineRule="auto"/>
              <w:ind w:left="60" w:right="60"/>
              <w:jc w:val="both"/>
              <w:rPr>
                <w:color w:val="000000"/>
              </w:rPr>
            </w:pPr>
            <w:r w:rsidRPr="002F576D">
              <w:rPr>
                <w:color w:val="000000"/>
              </w:rPr>
              <w:t>Prueba de esfericidad de Bartlett</w:t>
            </w:r>
          </w:p>
        </w:tc>
        <w:tc>
          <w:tcPr>
            <w:tcW w:w="2491" w:type="dxa"/>
            <w:shd w:val="clear" w:color="auto" w:fill="FFFFFF"/>
            <w:vAlign w:val="center"/>
          </w:tcPr>
          <w:p w14:paraId="44493EBD" w14:textId="77777777" w:rsidR="00AC3704" w:rsidRPr="002F576D" w:rsidRDefault="00AC3704" w:rsidP="00DE7C76">
            <w:pPr>
              <w:autoSpaceDE w:val="0"/>
              <w:autoSpaceDN w:val="0"/>
              <w:adjustRightInd w:val="0"/>
              <w:spacing w:line="360" w:lineRule="auto"/>
              <w:ind w:left="60" w:right="60"/>
              <w:jc w:val="both"/>
              <w:rPr>
                <w:color w:val="000000"/>
              </w:rPr>
            </w:pPr>
            <w:r w:rsidRPr="002F576D">
              <w:rPr>
                <w:color w:val="000000"/>
              </w:rPr>
              <w:t>Aprox. Chi-cuadrado</w:t>
            </w:r>
          </w:p>
        </w:tc>
        <w:tc>
          <w:tcPr>
            <w:tcW w:w="1105" w:type="dxa"/>
            <w:shd w:val="clear" w:color="auto" w:fill="FFFFFF"/>
            <w:vAlign w:val="center"/>
          </w:tcPr>
          <w:p w14:paraId="48F8B915" w14:textId="77777777" w:rsidR="00AC3704" w:rsidRPr="002F576D" w:rsidRDefault="00AC3704" w:rsidP="00DE7C76">
            <w:pPr>
              <w:autoSpaceDE w:val="0"/>
              <w:autoSpaceDN w:val="0"/>
              <w:adjustRightInd w:val="0"/>
              <w:spacing w:line="360" w:lineRule="auto"/>
              <w:ind w:left="60" w:right="60"/>
              <w:jc w:val="both"/>
              <w:rPr>
                <w:color w:val="000000"/>
              </w:rPr>
            </w:pPr>
            <w:r w:rsidRPr="002F576D">
              <w:rPr>
                <w:color w:val="000000"/>
              </w:rPr>
              <w:t>1494.651</w:t>
            </w:r>
          </w:p>
        </w:tc>
      </w:tr>
      <w:tr w:rsidR="00AC3704" w:rsidRPr="002F576D" w14:paraId="794D1C24" w14:textId="77777777" w:rsidTr="00DE7C76">
        <w:trPr>
          <w:cantSplit/>
        </w:trPr>
        <w:tc>
          <w:tcPr>
            <w:tcW w:w="2491" w:type="dxa"/>
            <w:vMerge/>
            <w:shd w:val="clear" w:color="auto" w:fill="FFFFFF"/>
            <w:vAlign w:val="center"/>
          </w:tcPr>
          <w:p w14:paraId="44CBB890" w14:textId="77777777" w:rsidR="00AC3704" w:rsidRPr="002F576D" w:rsidRDefault="00AC3704" w:rsidP="00DE7C76">
            <w:pPr>
              <w:autoSpaceDE w:val="0"/>
              <w:autoSpaceDN w:val="0"/>
              <w:adjustRightInd w:val="0"/>
              <w:spacing w:line="360" w:lineRule="auto"/>
              <w:jc w:val="both"/>
              <w:rPr>
                <w:color w:val="000000"/>
              </w:rPr>
            </w:pPr>
          </w:p>
        </w:tc>
        <w:tc>
          <w:tcPr>
            <w:tcW w:w="2491" w:type="dxa"/>
            <w:shd w:val="clear" w:color="auto" w:fill="FFFFFF"/>
            <w:vAlign w:val="center"/>
          </w:tcPr>
          <w:p w14:paraId="56745835" w14:textId="77777777" w:rsidR="00AC3704" w:rsidRPr="002F576D" w:rsidRDefault="00AC3704" w:rsidP="00DE7C76">
            <w:pPr>
              <w:autoSpaceDE w:val="0"/>
              <w:autoSpaceDN w:val="0"/>
              <w:adjustRightInd w:val="0"/>
              <w:spacing w:line="360" w:lineRule="auto"/>
              <w:ind w:left="60" w:right="60"/>
              <w:jc w:val="both"/>
              <w:rPr>
                <w:color w:val="000000"/>
              </w:rPr>
            </w:pPr>
            <w:r w:rsidRPr="002F576D">
              <w:rPr>
                <w:color w:val="000000"/>
              </w:rPr>
              <w:t>gl</w:t>
            </w:r>
          </w:p>
        </w:tc>
        <w:tc>
          <w:tcPr>
            <w:tcW w:w="1105" w:type="dxa"/>
            <w:shd w:val="clear" w:color="auto" w:fill="FFFFFF"/>
            <w:vAlign w:val="center"/>
          </w:tcPr>
          <w:p w14:paraId="4868D8AC" w14:textId="77777777" w:rsidR="00AC3704" w:rsidRPr="002F576D" w:rsidRDefault="00AC3704" w:rsidP="00DE7C76">
            <w:pPr>
              <w:autoSpaceDE w:val="0"/>
              <w:autoSpaceDN w:val="0"/>
              <w:adjustRightInd w:val="0"/>
              <w:spacing w:line="360" w:lineRule="auto"/>
              <w:ind w:left="60" w:right="60"/>
              <w:jc w:val="both"/>
              <w:rPr>
                <w:color w:val="000000"/>
              </w:rPr>
            </w:pPr>
            <w:r w:rsidRPr="002F576D">
              <w:rPr>
                <w:color w:val="000000"/>
              </w:rPr>
              <w:t>406</w:t>
            </w:r>
          </w:p>
        </w:tc>
      </w:tr>
      <w:tr w:rsidR="00AC3704" w:rsidRPr="002F576D" w14:paraId="693FE12B" w14:textId="77777777" w:rsidTr="00DE7C76">
        <w:trPr>
          <w:cantSplit/>
        </w:trPr>
        <w:tc>
          <w:tcPr>
            <w:tcW w:w="2491" w:type="dxa"/>
            <w:vMerge/>
            <w:shd w:val="clear" w:color="auto" w:fill="FFFFFF"/>
            <w:vAlign w:val="center"/>
          </w:tcPr>
          <w:p w14:paraId="1E3D933B" w14:textId="77777777" w:rsidR="00AC3704" w:rsidRPr="002F576D" w:rsidRDefault="00AC3704" w:rsidP="00DE7C76">
            <w:pPr>
              <w:autoSpaceDE w:val="0"/>
              <w:autoSpaceDN w:val="0"/>
              <w:adjustRightInd w:val="0"/>
              <w:spacing w:line="360" w:lineRule="auto"/>
              <w:jc w:val="both"/>
              <w:rPr>
                <w:color w:val="000000"/>
              </w:rPr>
            </w:pPr>
          </w:p>
        </w:tc>
        <w:tc>
          <w:tcPr>
            <w:tcW w:w="2491" w:type="dxa"/>
            <w:shd w:val="clear" w:color="auto" w:fill="FFFFFF"/>
            <w:vAlign w:val="center"/>
          </w:tcPr>
          <w:p w14:paraId="3B46058B" w14:textId="77777777" w:rsidR="00AC3704" w:rsidRPr="002F576D" w:rsidRDefault="00AC3704" w:rsidP="00DE7C76">
            <w:pPr>
              <w:autoSpaceDE w:val="0"/>
              <w:autoSpaceDN w:val="0"/>
              <w:adjustRightInd w:val="0"/>
              <w:spacing w:line="360" w:lineRule="auto"/>
              <w:ind w:left="60" w:right="60"/>
              <w:jc w:val="both"/>
              <w:rPr>
                <w:color w:val="000000"/>
              </w:rPr>
            </w:pPr>
            <w:r w:rsidRPr="002F576D">
              <w:rPr>
                <w:color w:val="000000"/>
              </w:rPr>
              <w:t>Sig.</w:t>
            </w:r>
          </w:p>
        </w:tc>
        <w:tc>
          <w:tcPr>
            <w:tcW w:w="1105" w:type="dxa"/>
            <w:shd w:val="clear" w:color="auto" w:fill="FFFFFF"/>
            <w:vAlign w:val="center"/>
          </w:tcPr>
          <w:p w14:paraId="084F6770" w14:textId="77777777" w:rsidR="00AC3704" w:rsidRPr="002F576D" w:rsidRDefault="00AC3704" w:rsidP="00DE7C76">
            <w:pPr>
              <w:autoSpaceDE w:val="0"/>
              <w:autoSpaceDN w:val="0"/>
              <w:adjustRightInd w:val="0"/>
              <w:spacing w:line="360" w:lineRule="auto"/>
              <w:ind w:left="60" w:right="60"/>
              <w:jc w:val="both"/>
              <w:rPr>
                <w:color w:val="000000"/>
              </w:rPr>
            </w:pPr>
            <w:r w:rsidRPr="002F576D">
              <w:rPr>
                <w:color w:val="000000"/>
              </w:rPr>
              <w:t>.000</w:t>
            </w:r>
          </w:p>
        </w:tc>
      </w:tr>
    </w:tbl>
    <w:p w14:paraId="7AFFF798" w14:textId="34FA5532" w:rsidR="00AC3704" w:rsidRPr="00CF0DDC" w:rsidRDefault="00AC3704" w:rsidP="002F576D">
      <w:pPr>
        <w:spacing w:line="360" w:lineRule="auto"/>
        <w:jc w:val="center"/>
        <w:rPr>
          <w:lang w:val="es-ES"/>
        </w:rPr>
      </w:pPr>
      <w:r w:rsidRPr="00CF0DDC">
        <w:rPr>
          <w:lang w:val="es-ES"/>
        </w:rPr>
        <w:t>Fuente: Elaboración propia</w:t>
      </w:r>
    </w:p>
    <w:p w14:paraId="48CA7F33" w14:textId="185FDB90" w:rsidR="00AC3704" w:rsidRPr="00CF0DDC" w:rsidRDefault="00AC3704" w:rsidP="002F576D">
      <w:pPr>
        <w:spacing w:line="360" w:lineRule="auto"/>
        <w:ind w:firstLine="708"/>
        <w:jc w:val="both"/>
        <w:rPr>
          <w:lang w:val="es-ES"/>
        </w:rPr>
      </w:pPr>
      <w:r w:rsidRPr="00B46597">
        <w:rPr>
          <w:lang w:val="es-ES"/>
        </w:rPr>
        <w:t xml:space="preserve">Luego de realizar el análisis de los 29 ítems, se observa que las comunalidades son mayores a 0.5 en la columna denominada “extracción” (tabla 3). </w:t>
      </w:r>
      <w:r>
        <w:rPr>
          <w:lang w:val="es-ES"/>
        </w:rPr>
        <w:t xml:space="preserve">Al respecto, cabe especificar </w:t>
      </w:r>
      <w:r w:rsidRPr="00B46597">
        <w:rPr>
          <w:lang w:val="es-ES"/>
        </w:rPr>
        <w:t xml:space="preserve">que las comunalidades indican </w:t>
      </w:r>
      <w:bookmarkStart w:id="0" w:name="_Hlk158228754"/>
      <w:r w:rsidRPr="00B46597">
        <w:rPr>
          <w:lang w:val="es-ES"/>
        </w:rPr>
        <w:t>“la proporción de la varianza que es explicada por los factores comunes y se obtiene por la suma de los pesos factoriales al cuadrado en cada una de las filas</w:t>
      </w:r>
      <w:bookmarkEnd w:id="0"/>
      <w:r w:rsidRPr="00B46597">
        <w:rPr>
          <w:lang w:val="es-ES"/>
        </w:rPr>
        <w:t>”</w:t>
      </w:r>
      <w:r>
        <w:rPr>
          <w:lang w:val="es-ES"/>
        </w:rPr>
        <w:t xml:space="preserve"> (</w:t>
      </w:r>
      <w:r w:rsidRPr="00CF0DDC">
        <w:rPr>
          <w:lang w:val="es-ES"/>
        </w:rPr>
        <w:t>Girarte</w:t>
      </w:r>
      <w:r w:rsidR="007377C2" w:rsidRPr="007478FD">
        <w:rPr>
          <w:rStyle w:val="Hipervnculo"/>
          <w:color w:val="auto"/>
          <w:u w:val="none"/>
        </w:rPr>
        <w:t>-Guillén</w:t>
      </w:r>
      <w:r w:rsidR="007377C2">
        <w:rPr>
          <w:rStyle w:val="Hipervnculo"/>
          <w:color w:val="auto"/>
          <w:u w:val="none"/>
        </w:rPr>
        <w:t xml:space="preserve"> </w:t>
      </w:r>
      <w:r w:rsidR="007377C2" w:rsidRPr="007478FD">
        <w:rPr>
          <w:rStyle w:val="Hipervnculo"/>
          <w:color w:val="auto"/>
          <w:u w:val="none"/>
        </w:rPr>
        <w:t>y Del Valle-López</w:t>
      </w:r>
      <w:r>
        <w:rPr>
          <w:lang w:val="es-ES"/>
        </w:rPr>
        <w:t>,</w:t>
      </w:r>
      <w:r w:rsidRPr="00CF0DDC">
        <w:rPr>
          <w:lang w:val="es-ES"/>
        </w:rPr>
        <w:t xml:space="preserve"> 2020, p. 158).</w:t>
      </w:r>
      <w:r>
        <w:rPr>
          <w:lang w:val="es-ES"/>
        </w:rPr>
        <w:t xml:space="preserve"> Asimismo, e</w:t>
      </w:r>
      <w:r w:rsidRPr="00CF0DDC">
        <w:rPr>
          <w:lang w:val="es-ES"/>
        </w:rPr>
        <w:t xml:space="preserve">s el análisis de componentes parte del supuesto de que las variaciones son comunes y, antes de realizar la extracción, las comunalidades se encuentran con un valor de uno </w:t>
      </w:r>
      <w:r>
        <w:rPr>
          <w:lang w:val="es-ES"/>
        </w:rPr>
        <w:t>(</w:t>
      </w:r>
      <w:r w:rsidRPr="00CF0DDC">
        <w:rPr>
          <w:lang w:val="es-ES"/>
        </w:rPr>
        <w:t>Vega</w:t>
      </w:r>
      <w:r w:rsidR="007377C2" w:rsidRPr="007478FD">
        <w:rPr>
          <w:rStyle w:val="Hipervnculo"/>
          <w:color w:val="auto"/>
          <w:u w:val="none"/>
        </w:rPr>
        <w:t>-Falcon</w:t>
      </w:r>
      <w:r w:rsidRPr="00CF0DDC">
        <w:rPr>
          <w:lang w:val="es-ES"/>
        </w:rPr>
        <w:t xml:space="preserve"> </w:t>
      </w:r>
      <w:r w:rsidRPr="00CF0DDC">
        <w:rPr>
          <w:i/>
          <w:lang w:val="es-ES"/>
        </w:rPr>
        <w:t>et al</w:t>
      </w:r>
      <w:r w:rsidRPr="00CF0DDC">
        <w:rPr>
          <w:lang w:val="es-ES"/>
        </w:rPr>
        <w:t>.</w:t>
      </w:r>
      <w:r>
        <w:rPr>
          <w:lang w:val="es-ES"/>
        </w:rPr>
        <w:t>,</w:t>
      </w:r>
      <w:r w:rsidRPr="00CF0DDC">
        <w:rPr>
          <w:lang w:val="es-ES"/>
        </w:rPr>
        <w:t xml:space="preserve"> 2023). Además, la explicación de los factores debe estar en un intervalo de cero a uno y cumplir con ser mayor a 0.5</w:t>
      </w:r>
      <w:r>
        <w:rPr>
          <w:lang w:val="es-ES"/>
        </w:rPr>
        <w:t xml:space="preserve"> (</w:t>
      </w:r>
      <w:r w:rsidRPr="00CF0DDC">
        <w:rPr>
          <w:lang w:val="es-ES"/>
        </w:rPr>
        <w:t>Botello</w:t>
      </w:r>
      <w:r w:rsidR="007377C2" w:rsidRPr="007478FD">
        <w:t>-Hermosa</w:t>
      </w:r>
      <w:r w:rsidRPr="00CF0DDC">
        <w:rPr>
          <w:lang w:val="es-ES"/>
        </w:rPr>
        <w:t xml:space="preserve"> </w:t>
      </w:r>
      <w:r w:rsidRPr="00CF0DDC">
        <w:rPr>
          <w:i/>
          <w:lang w:val="es-ES"/>
        </w:rPr>
        <w:t>et al</w:t>
      </w:r>
      <w:r w:rsidRPr="00CF0DDC">
        <w:rPr>
          <w:lang w:val="es-ES"/>
        </w:rPr>
        <w:t>.</w:t>
      </w:r>
      <w:r>
        <w:rPr>
          <w:lang w:val="es-ES"/>
        </w:rPr>
        <w:t>,</w:t>
      </w:r>
      <w:r w:rsidRPr="00CF0DDC">
        <w:rPr>
          <w:lang w:val="es-ES"/>
        </w:rPr>
        <w:t xml:space="preserve"> 2019). </w:t>
      </w:r>
    </w:p>
    <w:p w14:paraId="1B7EA078" w14:textId="77777777" w:rsidR="00AC3704" w:rsidRDefault="00AC3704" w:rsidP="00AC3704">
      <w:pPr>
        <w:spacing w:before="160" w:line="360" w:lineRule="auto"/>
        <w:jc w:val="both"/>
        <w:rPr>
          <w:lang w:val="es-ES"/>
        </w:rPr>
      </w:pPr>
      <w:r w:rsidRPr="00CF0DDC">
        <w:rPr>
          <w:lang w:val="es-ES"/>
        </w:rPr>
        <w:tab/>
      </w:r>
    </w:p>
    <w:p w14:paraId="13AB068B" w14:textId="77777777" w:rsidR="004E1440" w:rsidRDefault="004E1440" w:rsidP="00AC3704">
      <w:pPr>
        <w:spacing w:before="160" w:line="360" w:lineRule="auto"/>
        <w:jc w:val="both"/>
        <w:rPr>
          <w:lang w:val="es-ES"/>
        </w:rPr>
      </w:pPr>
    </w:p>
    <w:p w14:paraId="2189E753" w14:textId="77777777" w:rsidR="004E1440" w:rsidRDefault="004E1440" w:rsidP="00AC3704">
      <w:pPr>
        <w:spacing w:before="160" w:line="360" w:lineRule="auto"/>
        <w:jc w:val="both"/>
        <w:rPr>
          <w:lang w:val="es-ES"/>
        </w:rPr>
      </w:pPr>
    </w:p>
    <w:p w14:paraId="316BAD0F" w14:textId="77777777" w:rsidR="004E1440" w:rsidRDefault="004E1440" w:rsidP="00AC3704">
      <w:pPr>
        <w:spacing w:before="160" w:line="360" w:lineRule="auto"/>
        <w:jc w:val="both"/>
        <w:rPr>
          <w:lang w:val="es-ES"/>
        </w:rPr>
      </w:pPr>
    </w:p>
    <w:p w14:paraId="0BF5796A" w14:textId="77777777" w:rsidR="004E1440" w:rsidRDefault="004E1440" w:rsidP="00AC3704">
      <w:pPr>
        <w:spacing w:before="160" w:line="360" w:lineRule="auto"/>
        <w:jc w:val="both"/>
        <w:rPr>
          <w:lang w:val="es-ES"/>
        </w:rPr>
      </w:pPr>
    </w:p>
    <w:p w14:paraId="15EF2C4D" w14:textId="77777777" w:rsidR="004E1440" w:rsidRDefault="004E1440" w:rsidP="00AC3704">
      <w:pPr>
        <w:spacing w:before="160" w:line="360" w:lineRule="auto"/>
        <w:jc w:val="both"/>
        <w:rPr>
          <w:lang w:val="es-ES"/>
        </w:rPr>
      </w:pPr>
    </w:p>
    <w:p w14:paraId="2F1CC179" w14:textId="77777777" w:rsidR="004E1440" w:rsidRDefault="004E1440" w:rsidP="00AC3704">
      <w:pPr>
        <w:spacing w:before="160" w:line="360" w:lineRule="auto"/>
        <w:jc w:val="both"/>
        <w:rPr>
          <w:lang w:val="es-ES"/>
        </w:rPr>
      </w:pPr>
    </w:p>
    <w:p w14:paraId="436C168D" w14:textId="77777777" w:rsidR="004E1440" w:rsidRDefault="004E1440" w:rsidP="00AC3704">
      <w:pPr>
        <w:spacing w:before="160" w:line="360" w:lineRule="auto"/>
        <w:jc w:val="both"/>
        <w:rPr>
          <w:lang w:val="es-ES"/>
        </w:rPr>
      </w:pPr>
    </w:p>
    <w:p w14:paraId="29121D7C" w14:textId="77777777" w:rsidR="004E1440" w:rsidRDefault="004E1440" w:rsidP="00AC3704">
      <w:pPr>
        <w:spacing w:before="160" w:line="360" w:lineRule="auto"/>
        <w:jc w:val="both"/>
        <w:rPr>
          <w:lang w:val="es-ES"/>
        </w:rPr>
      </w:pPr>
    </w:p>
    <w:p w14:paraId="5ED7F06F" w14:textId="77777777" w:rsidR="004E1440" w:rsidRDefault="004E1440" w:rsidP="00AC3704">
      <w:pPr>
        <w:spacing w:before="160" w:line="360" w:lineRule="auto"/>
        <w:jc w:val="both"/>
        <w:rPr>
          <w:lang w:val="es-ES"/>
        </w:rPr>
      </w:pPr>
    </w:p>
    <w:p w14:paraId="48D599F7" w14:textId="77777777" w:rsidR="004E1440" w:rsidRDefault="004E1440" w:rsidP="00AC3704">
      <w:pPr>
        <w:spacing w:before="160" w:line="360" w:lineRule="auto"/>
        <w:jc w:val="both"/>
        <w:rPr>
          <w:lang w:val="es-ES"/>
        </w:rPr>
      </w:pPr>
    </w:p>
    <w:p w14:paraId="6AD7E6CC" w14:textId="77777777" w:rsidR="004E1440" w:rsidRDefault="004E1440" w:rsidP="00AC3704">
      <w:pPr>
        <w:spacing w:before="160" w:line="360" w:lineRule="auto"/>
        <w:jc w:val="both"/>
        <w:rPr>
          <w:lang w:val="es-ES"/>
        </w:rPr>
      </w:pPr>
    </w:p>
    <w:p w14:paraId="79D1646C" w14:textId="77777777" w:rsidR="004E1440" w:rsidRPr="00CF0DDC" w:rsidRDefault="004E1440" w:rsidP="00AC3704">
      <w:pPr>
        <w:spacing w:before="160" w:line="360" w:lineRule="auto"/>
        <w:jc w:val="both"/>
        <w:rPr>
          <w:lang w:val="es-ES"/>
        </w:rPr>
      </w:pPr>
    </w:p>
    <w:p w14:paraId="63DEE65F" w14:textId="77777777" w:rsidR="00AC3704" w:rsidRPr="00CF0DDC" w:rsidRDefault="00AC3704" w:rsidP="00AC3704">
      <w:pPr>
        <w:spacing w:before="160" w:line="360" w:lineRule="auto"/>
        <w:jc w:val="center"/>
        <w:rPr>
          <w:lang w:val="en-US"/>
        </w:rPr>
      </w:pPr>
      <w:r w:rsidRPr="00CF0DDC">
        <w:rPr>
          <w:b/>
        </w:rPr>
        <w:lastRenderedPageBreak/>
        <w:t>Tabla</w:t>
      </w:r>
      <w:r w:rsidRPr="00CF0DDC">
        <w:rPr>
          <w:b/>
          <w:lang w:val="en-US"/>
        </w:rPr>
        <w:t xml:space="preserve"> 3.</w:t>
      </w:r>
      <w:r w:rsidRPr="00CF0DDC">
        <w:rPr>
          <w:lang w:val="en-US"/>
        </w:rPr>
        <w:t xml:space="preserve"> Comunalidades</w:t>
      </w:r>
    </w:p>
    <w:tbl>
      <w:tblPr>
        <w:tblW w:w="2980" w:type="dxa"/>
        <w:jc w:val="center"/>
        <w:tblCellMar>
          <w:left w:w="70" w:type="dxa"/>
          <w:right w:w="70" w:type="dxa"/>
        </w:tblCellMar>
        <w:tblLook w:val="04A0" w:firstRow="1" w:lastRow="0" w:firstColumn="1" w:lastColumn="0" w:noHBand="0" w:noVBand="1"/>
      </w:tblPr>
      <w:tblGrid>
        <w:gridCol w:w="1634"/>
        <w:gridCol w:w="754"/>
        <w:gridCol w:w="1180"/>
      </w:tblGrid>
      <w:tr w:rsidR="00AC3704" w:rsidRPr="002F576D" w14:paraId="77313E26" w14:textId="77777777" w:rsidTr="00DE7C76">
        <w:trPr>
          <w:trHeight w:val="500"/>
          <w:jc w:val="center"/>
        </w:trPr>
        <w:tc>
          <w:tcPr>
            <w:tcW w:w="1320" w:type="dxa"/>
            <w:tcBorders>
              <w:top w:val="single" w:sz="4" w:space="0" w:color="auto"/>
              <w:left w:val="single" w:sz="4" w:space="0" w:color="auto"/>
              <w:bottom w:val="nil"/>
              <w:right w:val="single" w:sz="4" w:space="0" w:color="auto"/>
            </w:tcBorders>
            <w:shd w:val="clear" w:color="auto" w:fill="auto"/>
            <w:noWrap/>
            <w:vAlign w:val="bottom"/>
            <w:hideMark/>
          </w:tcPr>
          <w:p w14:paraId="7938AEFD"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Comunalidades</w:t>
            </w:r>
          </w:p>
        </w:tc>
        <w:tc>
          <w:tcPr>
            <w:tcW w:w="620" w:type="dxa"/>
            <w:tcBorders>
              <w:top w:val="single" w:sz="4" w:space="0" w:color="auto"/>
              <w:left w:val="nil"/>
              <w:bottom w:val="nil"/>
              <w:right w:val="single" w:sz="4" w:space="0" w:color="auto"/>
            </w:tcBorders>
            <w:shd w:val="clear" w:color="auto" w:fill="auto"/>
            <w:noWrap/>
            <w:vAlign w:val="bottom"/>
            <w:hideMark/>
          </w:tcPr>
          <w:p w14:paraId="0E9E1002"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Inicial</w:t>
            </w:r>
          </w:p>
        </w:tc>
        <w:tc>
          <w:tcPr>
            <w:tcW w:w="1040" w:type="dxa"/>
            <w:tcBorders>
              <w:top w:val="single" w:sz="4" w:space="0" w:color="auto"/>
              <w:left w:val="nil"/>
              <w:bottom w:val="nil"/>
              <w:right w:val="single" w:sz="4" w:space="0" w:color="auto"/>
            </w:tcBorders>
            <w:shd w:val="clear" w:color="auto" w:fill="auto"/>
            <w:noWrap/>
            <w:vAlign w:val="bottom"/>
            <w:hideMark/>
          </w:tcPr>
          <w:p w14:paraId="60D8C603"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Extracción</w:t>
            </w:r>
          </w:p>
        </w:tc>
      </w:tr>
      <w:tr w:rsidR="00AC3704" w:rsidRPr="002F576D" w14:paraId="6E45C3C2" w14:textId="77777777" w:rsidTr="00DE7C76">
        <w:trPr>
          <w:trHeight w:val="290"/>
          <w:jc w:val="center"/>
        </w:trPr>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372A2893"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I1</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6763511D"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682BAAD6"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.793</w:t>
            </w:r>
          </w:p>
        </w:tc>
      </w:tr>
      <w:tr w:rsidR="00AC3704" w:rsidRPr="002F576D" w14:paraId="2BB3D159"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0573D886"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I2</w:t>
            </w:r>
          </w:p>
        </w:tc>
        <w:tc>
          <w:tcPr>
            <w:tcW w:w="620" w:type="dxa"/>
            <w:tcBorders>
              <w:top w:val="nil"/>
              <w:left w:val="nil"/>
              <w:bottom w:val="single" w:sz="4" w:space="0" w:color="auto"/>
              <w:right w:val="single" w:sz="4" w:space="0" w:color="auto"/>
            </w:tcBorders>
            <w:shd w:val="clear" w:color="auto" w:fill="auto"/>
            <w:noWrap/>
            <w:vAlign w:val="center"/>
            <w:hideMark/>
          </w:tcPr>
          <w:p w14:paraId="484647A6"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4B378345"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.822</w:t>
            </w:r>
          </w:p>
        </w:tc>
      </w:tr>
      <w:tr w:rsidR="00AC3704" w:rsidRPr="002F576D" w14:paraId="17B2DB9A"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2C7310A9"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I3</w:t>
            </w:r>
          </w:p>
        </w:tc>
        <w:tc>
          <w:tcPr>
            <w:tcW w:w="620" w:type="dxa"/>
            <w:tcBorders>
              <w:top w:val="nil"/>
              <w:left w:val="nil"/>
              <w:bottom w:val="single" w:sz="4" w:space="0" w:color="auto"/>
              <w:right w:val="single" w:sz="4" w:space="0" w:color="auto"/>
            </w:tcBorders>
            <w:shd w:val="clear" w:color="auto" w:fill="auto"/>
            <w:noWrap/>
            <w:vAlign w:val="center"/>
            <w:hideMark/>
          </w:tcPr>
          <w:p w14:paraId="5552E841"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68A4DCAE"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.819</w:t>
            </w:r>
          </w:p>
        </w:tc>
      </w:tr>
      <w:tr w:rsidR="00AC3704" w:rsidRPr="002F576D" w14:paraId="302857DC"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439F54FF"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I4</w:t>
            </w:r>
          </w:p>
        </w:tc>
        <w:tc>
          <w:tcPr>
            <w:tcW w:w="620" w:type="dxa"/>
            <w:tcBorders>
              <w:top w:val="nil"/>
              <w:left w:val="nil"/>
              <w:bottom w:val="single" w:sz="4" w:space="0" w:color="auto"/>
              <w:right w:val="single" w:sz="4" w:space="0" w:color="auto"/>
            </w:tcBorders>
            <w:shd w:val="clear" w:color="auto" w:fill="auto"/>
            <w:noWrap/>
            <w:vAlign w:val="center"/>
            <w:hideMark/>
          </w:tcPr>
          <w:p w14:paraId="528CA15D"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781747BF"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.716</w:t>
            </w:r>
          </w:p>
        </w:tc>
      </w:tr>
      <w:tr w:rsidR="00AC3704" w:rsidRPr="002F576D" w14:paraId="04D012EF"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16BF54F0"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I5</w:t>
            </w:r>
          </w:p>
        </w:tc>
        <w:tc>
          <w:tcPr>
            <w:tcW w:w="620" w:type="dxa"/>
            <w:tcBorders>
              <w:top w:val="nil"/>
              <w:left w:val="nil"/>
              <w:bottom w:val="single" w:sz="4" w:space="0" w:color="auto"/>
              <w:right w:val="single" w:sz="4" w:space="0" w:color="auto"/>
            </w:tcBorders>
            <w:shd w:val="clear" w:color="auto" w:fill="auto"/>
            <w:noWrap/>
            <w:vAlign w:val="center"/>
            <w:hideMark/>
          </w:tcPr>
          <w:p w14:paraId="452A2FA3"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7E725FBF"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.667</w:t>
            </w:r>
          </w:p>
        </w:tc>
      </w:tr>
      <w:tr w:rsidR="00AC3704" w:rsidRPr="002F576D" w14:paraId="2FD41943"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3D7307B5"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I6</w:t>
            </w:r>
          </w:p>
        </w:tc>
        <w:tc>
          <w:tcPr>
            <w:tcW w:w="620" w:type="dxa"/>
            <w:tcBorders>
              <w:top w:val="nil"/>
              <w:left w:val="nil"/>
              <w:bottom w:val="single" w:sz="4" w:space="0" w:color="auto"/>
              <w:right w:val="single" w:sz="4" w:space="0" w:color="auto"/>
            </w:tcBorders>
            <w:shd w:val="clear" w:color="auto" w:fill="auto"/>
            <w:noWrap/>
            <w:vAlign w:val="center"/>
            <w:hideMark/>
          </w:tcPr>
          <w:p w14:paraId="00FB7D08"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4AF839F4"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.840</w:t>
            </w:r>
          </w:p>
        </w:tc>
      </w:tr>
      <w:tr w:rsidR="00AC3704" w:rsidRPr="002F576D" w14:paraId="0C857A63"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76D9F98D"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I7</w:t>
            </w:r>
          </w:p>
        </w:tc>
        <w:tc>
          <w:tcPr>
            <w:tcW w:w="620" w:type="dxa"/>
            <w:tcBorders>
              <w:top w:val="nil"/>
              <w:left w:val="nil"/>
              <w:bottom w:val="single" w:sz="4" w:space="0" w:color="auto"/>
              <w:right w:val="single" w:sz="4" w:space="0" w:color="auto"/>
            </w:tcBorders>
            <w:shd w:val="clear" w:color="auto" w:fill="auto"/>
            <w:noWrap/>
            <w:vAlign w:val="center"/>
            <w:hideMark/>
          </w:tcPr>
          <w:p w14:paraId="23478ABD"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0AA23986"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.846</w:t>
            </w:r>
          </w:p>
        </w:tc>
      </w:tr>
      <w:tr w:rsidR="00AC3704" w:rsidRPr="002F576D" w14:paraId="126B73C7"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77B4DDFC"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I8</w:t>
            </w:r>
          </w:p>
        </w:tc>
        <w:tc>
          <w:tcPr>
            <w:tcW w:w="620" w:type="dxa"/>
            <w:tcBorders>
              <w:top w:val="nil"/>
              <w:left w:val="nil"/>
              <w:bottom w:val="single" w:sz="4" w:space="0" w:color="auto"/>
              <w:right w:val="single" w:sz="4" w:space="0" w:color="auto"/>
            </w:tcBorders>
            <w:shd w:val="clear" w:color="auto" w:fill="auto"/>
            <w:noWrap/>
            <w:vAlign w:val="center"/>
            <w:hideMark/>
          </w:tcPr>
          <w:p w14:paraId="70B50B53"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6C8055E0"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.866</w:t>
            </w:r>
          </w:p>
        </w:tc>
      </w:tr>
      <w:tr w:rsidR="00AC3704" w:rsidRPr="002F576D" w14:paraId="4F002BA2"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3F456772"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I9</w:t>
            </w:r>
          </w:p>
        </w:tc>
        <w:tc>
          <w:tcPr>
            <w:tcW w:w="620" w:type="dxa"/>
            <w:tcBorders>
              <w:top w:val="nil"/>
              <w:left w:val="nil"/>
              <w:bottom w:val="single" w:sz="4" w:space="0" w:color="auto"/>
              <w:right w:val="single" w:sz="4" w:space="0" w:color="auto"/>
            </w:tcBorders>
            <w:shd w:val="clear" w:color="auto" w:fill="auto"/>
            <w:noWrap/>
            <w:vAlign w:val="center"/>
            <w:hideMark/>
          </w:tcPr>
          <w:p w14:paraId="649E4532"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26D185A1"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.508</w:t>
            </w:r>
          </w:p>
        </w:tc>
      </w:tr>
      <w:tr w:rsidR="00AC3704" w:rsidRPr="002F576D" w14:paraId="3E9CBD31"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5496BDE4"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I10</w:t>
            </w:r>
          </w:p>
        </w:tc>
        <w:tc>
          <w:tcPr>
            <w:tcW w:w="620" w:type="dxa"/>
            <w:tcBorders>
              <w:top w:val="nil"/>
              <w:left w:val="nil"/>
              <w:bottom w:val="single" w:sz="4" w:space="0" w:color="auto"/>
              <w:right w:val="single" w:sz="4" w:space="0" w:color="auto"/>
            </w:tcBorders>
            <w:shd w:val="clear" w:color="auto" w:fill="auto"/>
            <w:noWrap/>
            <w:vAlign w:val="center"/>
            <w:hideMark/>
          </w:tcPr>
          <w:p w14:paraId="35FFBE14"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2F2BCE79"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.750</w:t>
            </w:r>
          </w:p>
        </w:tc>
      </w:tr>
      <w:tr w:rsidR="00AC3704" w:rsidRPr="002F576D" w14:paraId="777D4FC5"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1E12D459"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I11</w:t>
            </w:r>
          </w:p>
        </w:tc>
        <w:tc>
          <w:tcPr>
            <w:tcW w:w="620" w:type="dxa"/>
            <w:tcBorders>
              <w:top w:val="nil"/>
              <w:left w:val="nil"/>
              <w:bottom w:val="single" w:sz="4" w:space="0" w:color="auto"/>
              <w:right w:val="single" w:sz="4" w:space="0" w:color="auto"/>
            </w:tcBorders>
            <w:shd w:val="clear" w:color="auto" w:fill="auto"/>
            <w:noWrap/>
            <w:vAlign w:val="center"/>
            <w:hideMark/>
          </w:tcPr>
          <w:p w14:paraId="5369221D"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034E8CD4"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.634</w:t>
            </w:r>
          </w:p>
        </w:tc>
      </w:tr>
      <w:tr w:rsidR="00AC3704" w:rsidRPr="002F576D" w14:paraId="5640F7C0"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1D6A1F99"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I12</w:t>
            </w:r>
          </w:p>
        </w:tc>
        <w:tc>
          <w:tcPr>
            <w:tcW w:w="620" w:type="dxa"/>
            <w:tcBorders>
              <w:top w:val="nil"/>
              <w:left w:val="nil"/>
              <w:bottom w:val="single" w:sz="4" w:space="0" w:color="auto"/>
              <w:right w:val="single" w:sz="4" w:space="0" w:color="auto"/>
            </w:tcBorders>
            <w:shd w:val="clear" w:color="auto" w:fill="auto"/>
            <w:noWrap/>
            <w:vAlign w:val="center"/>
            <w:hideMark/>
          </w:tcPr>
          <w:p w14:paraId="0B4AF1B3"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55270D95"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.721</w:t>
            </w:r>
          </w:p>
        </w:tc>
      </w:tr>
      <w:tr w:rsidR="00AC3704" w:rsidRPr="002F576D" w14:paraId="0FFB19D3"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156D6CCD"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I13</w:t>
            </w:r>
          </w:p>
        </w:tc>
        <w:tc>
          <w:tcPr>
            <w:tcW w:w="620" w:type="dxa"/>
            <w:tcBorders>
              <w:top w:val="nil"/>
              <w:left w:val="nil"/>
              <w:bottom w:val="single" w:sz="4" w:space="0" w:color="auto"/>
              <w:right w:val="single" w:sz="4" w:space="0" w:color="auto"/>
            </w:tcBorders>
            <w:shd w:val="clear" w:color="auto" w:fill="auto"/>
            <w:noWrap/>
            <w:vAlign w:val="center"/>
            <w:hideMark/>
          </w:tcPr>
          <w:p w14:paraId="21F3A51A"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1B11ABDE"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.783</w:t>
            </w:r>
          </w:p>
        </w:tc>
      </w:tr>
      <w:tr w:rsidR="00AC3704" w:rsidRPr="002F576D" w14:paraId="153E591C"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2F1A73A4"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I14</w:t>
            </w:r>
          </w:p>
        </w:tc>
        <w:tc>
          <w:tcPr>
            <w:tcW w:w="620" w:type="dxa"/>
            <w:tcBorders>
              <w:top w:val="nil"/>
              <w:left w:val="nil"/>
              <w:bottom w:val="single" w:sz="4" w:space="0" w:color="auto"/>
              <w:right w:val="single" w:sz="4" w:space="0" w:color="auto"/>
            </w:tcBorders>
            <w:shd w:val="clear" w:color="auto" w:fill="auto"/>
            <w:noWrap/>
            <w:vAlign w:val="center"/>
            <w:hideMark/>
          </w:tcPr>
          <w:p w14:paraId="24D33911"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5640F686"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.905</w:t>
            </w:r>
          </w:p>
        </w:tc>
      </w:tr>
      <w:tr w:rsidR="00AC3704" w:rsidRPr="002F576D" w14:paraId="2DA7A046"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13ED4644"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I15</w:t>
            </w:r>
          </w:p>
        </w:tc>
        <w:tc>
          <w:tcPr>
            <w:tcW w:w="620" w:type="dxa"/>
            <w:tcBorders>
              <w:top w:val="nil"/>
              <w:left w:val="nil"/>
              <w:bottom w:val="single" w:sz="4" w:space="0" w:color="auto"/>
              <w:right w:val="single" w:sz="4" w:space="0" w:color="auto"/>
            </w:tcBorders>
            <w:shd w:val="clear" w:color="auto" w:fill="auto"/>
            <w:noWrap/>
            <w:vAlign w:val="center"/>
            <w:hideMark/>
          </w:tcPr>
          <w:p w14:paraId="10AD4FEF"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63E04443"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.829</w:t>
            </w:r>
          </w:p>
        </w:tc>
      </w:tr>
      <w:tr w:rsidR="00AC3704" w:rsidRPr="002F576D" w14:paraId="0CFCEA1C"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12BC606B"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I16</w:t>
            </w:r>
          </w:p>
        </w:tc>
        <w:tc>
          <w:tcPr>
            <w:tcW w:w="620" w:type="dxa"/>
            <w:tcBorders>
              <w:top w:val="nil"/>
              <w:left w:val="nil"/>
              <w:bottom w:val="single" w:sz="4" w:space="0" w:color="auto"/>
              <w:right w:val="single" w:sz="4" w:space="0" w:color="auto"/>
            </w:tcBorders>
            <w:shd w:val="clear" w:color="auto" w:fill="auto"/>
            <w:noWrap/>
            <w:vAlign w:val="center"/>
            <w:hideMark/>
          </w:tcPr>
          <w:p w14:paraId="5FCBAB2E"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2372FA66"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.712</w:t>
            </w:r>
          </w:p>
        </w:tc>
      </w:tr>
      <w:tr w:rsidR="00AC3704" w:rsidRPr="002F576D" w14:paraId="4E073B85"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5DADD97C"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I17</w:t>
            </w:r>
          </w:p>
        </w:tc>
        <w:tc>
          <w:tcPr>
            <w:tcW w:w="620" w:type="dxa"/>
            <w:tcBorders>
              <w:top w:val="nil"/>
              <w:left w:val="nil"/>
              <w:bottom w:val="single" w:sz="4" w:space="0" w:color="auto"/>
              <w:right w:val="single" w:sz="4" w:space="0" w:color="auto"/>
            </w:tcBorders>
            <w:shd w:val="clear" w:color="auto" w:fill="auto"/>
            <w:noWrap/>
            <w:vAlign w:val="center"/>
            <w:hideMark/>
          </w:tcPr>
          <w:p w14:paraId="717D556B"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7042CEDF"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.777</w:t>
            </w:r>
          </w:p>
        </w:tc>
      </w:tr>
      <w:tr w:rsidR="00AC3704" w:rsidRPr="002F576D" w14:paraId="356A0DD6"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0683368F"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I18</w:t>
            </w:r>
          </w:p>
        </w:tc>
        <w:tc>
          <w:tcPr>
            <w:tcW w:w="620" w:type="dxa"/>
            <w:tcBorders>
              <w:top w:val="nil"/>
              <w:left w:val="nil"/>
              <w:bottom w:val="single" w:sz="4" w:space="0" w:color="auto"/>
              <w:right w:val="single" w:sz="4" w:space="0" w:color="auto"/>
            </w:tcBorders>
            <w:shd w:val="clear" w:color="auto" w:fill="auto"/>
            <w:noWrap/>
            <w:vAlign w:val="center"/>
            <w:hideMark/>
          </w:tcPr>
          <w:p w14:paraId="72D0CC3C"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4F381427"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.547</w:t>
            </w:r>
          </w:p>
        </w:tc>
      </w:tr>
      <w:tr w:rsidR="00AC3704" w:rsidRPr="002F576D" w14:paraId="0ADC7BAD"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40A19346"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I19</w:t>
            </w:r>
          </w:p>
        </w:tc>
        <w:tc>
          <w:tcPr>
            <w:tcW w:w="620" w:type="dxa"/>
            <w:tcBorders>
              <w:top w:val="nil"/>
              <w:left w:val="nil"/>
              <w:bottom w:val="single" w:sz="4" w:space="0" w:color="auto"/>
              <w:right w:val="single" w:sz="4" w:space="0" w:color="auto"/>
            </w:tcBorders>
            <w:shd w:val="clear" w:color="auto" w:fill="auto"/>
            <w:noWrap/>
            <w:vAlign w:val="center"/>
            <w:hideMark/>
          </w:tcPr>
          <w:p w14:paraId="119BB7AE"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1DE23A1F"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.787</w:t>
            </w:r>
          </w:p>
        </w:tc>
      </w:tr>
      <w:tr w:rsidR="00AC3704" w:rsidRPr="002F576D" w14:paraId="75579F64"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4781491B"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I20</w:t>
            </w:r>
          </w:p>
        </w:tc>
        <w:tc>
          <w:tcPr>
            <w:tcW w:w="620" w:type="dxa"/>
            <w:tcBorders>
              <w:top w:val="nil"/>
              <w:left w:val="nil"/>
              <w:bottom w:val="single" w:sz="4" w:space="0" w:color="auto"/>
              <w:right w:val="single" w:sz="4" w:space="0" w:color="auto"/>
            </w:tcBorders>
            <w:shd w:val="clear" w:color="auto" w:fill="auto"/>
            <w:noWrap/>
            <w:vAlign w:val="center"/>
            <w:hideMark/>
          </w:tcPr>
          <w:p w14:paraId="45DE5F8F"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7F04C71D"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.810</w:t>
            </w:r>
          </w:p>
        </w:tc>
      </w:tr>
      <w:tr w:rsidR="00AC3704" w:rsidRPr="002F576D" w14:paraId="2F03F5B1"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3D8AA2E9"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I21</w:t>
            </w:r>
          </w:p>
        </w:tc>
        <w:tc>
          <w:tcPr>
            <w:tcW w:w="620" w:type="dxa"/>
            <w:tcBorders>
              <w:top w:val="nil"/>
              <w:left w:val="nil"/>
              <w:bottom w:val="single" w:sz="4" w:space="0" w:color="auto"/>
              <w:right w:val="single" w:sz="4" w:space="0" w:color="auto"/>
            </w:tcBorders>
            <w:shd w:val="clear" w:color="auto" w:fill="auto"/>
            <w:noWrap/>
            <w:vAlign w:val="center"/>
            <w:hideMark/>
          </w:tcPr>
          <w:p w14:paraId="0A98878F"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1895344C"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.665</w:t>
            </w:r>
          </w:p>
        </w:tc>
      </w:tr>
      <w:tr w:rsidR="00AC3704" w:rsidRPr="002F576D" w14:paraId="3D1D9317"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45F555FA"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I22</w:t>
            </w:r>
          </w:p>
        </w:tc>
        <w:tc>
          <w:tcPr>
            <w:tcW w:w="620" w:type="dxa"/>
            <w:tcBorders>
              <w:top w:val="nil"/>
              <w:left w:val="nil"/>
              <w:bottom w:val="single" w:sz="4" w:space="0" w:color="auto"/>
              <w:right w:val="single" w:sz="4" w:space="0" w:color="auto"/>
            </w:tcBorders>
            <w:shd w:val="clear" w:color="auto" w:fill="auto"/>
            <w:noWrap/>
            <w:vAlign w:val="center"/>
            <w:hideMark/>
          </w:tcPr>
          <w:p w14:paraId="6FF02704"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6B15C46E"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.680</w:t>
            </w:r>
          </w:p>
        </w:tc>
      </w:tr>
      <w:tr w:rsidR="00AC3704" w:rsidRPr="002F576D" w14:paraId="7937EC04"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32A0BF2F"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I23</w:t>
            </w:r>
          </w:p>
        </w:tc>
        <w:tc>
          <w:tcPr>
            <w:tcW w:w="620" w:type="dxa"/>
            <w:tcBorders>
              <w:top w:val="nil"/>
              <w:left w:val="nil"/>
              <w:bottom w:val="single" w:sz="4" w:space="0" w:color="auto"/>
              <w:right w:val="single" w:sz="4" w:space="0" w:color="auto"/>
            </w:tcBorders>
            <w:shd w:val="clear" w:color="auto" w:fill="auto"/>
            <w:noWrap/>
            <w:vAlign w:val="center"/>
            <w:hideMark/>
          </w:tcPr>
          <w:p w14:paraId="5BD34224"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529D57A3"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.678</w:t>
            </w:r>
          </w:p>
        </w:tc>
      </w:tr>
      <w:tr w:rsidR="00AC3704" w:rsidRPr="002F576D" w14:paraId="0B80AC0B"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7166538E"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I24</w:t>
            </w:r>
          </w:p>
        </w:tc>
        <w:tc>
          <w:tcPr>
            <w:tcW w:w="620" w:type="dxa"/>
            <w:tcBorders>
              <w:top w:val="nil"/>
              <w:left w:val="nil"/>
              <w:bottom w:val="single" w:sz="4" w:space="0" w:color="auto"/>
              <w:right w:val="single" w:sz="4" w:space="0" w:color="auto"/>
            </w:tcBorders>
            <w:shd w:val="clear" w:color="auto" w:fill="auto"/>
            <w:noWrap/>
            <w:vAlign w:val="center"/>
            <w:hideMark/>
          </w:tcPr>
          <w:p w14:paraId="7DA06365"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0D1220CA"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.784</w:t>
            </w:r>
          </w:p>
        </w:tc>
      </w:tr>
      <w:tr w:rsidR="00AC3704" w:rsidRPr="002F576D" w14:paraId="0C28FCC6"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6254E07C"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I25</w:t>
            </w:r>
          </w:p>
        </w:tc>
        <w:tc>
          <w:tcPr>
            <w:tcW w:w="620" w:type="dxa"/>
            <w:tcBorders>
              <w:top w:val="nil"/>
              <w:left w:val="nil"/>
              <w:bottom w:val="single" w:sz="4" w:space="0" w:color="auto"/>
              <w:right w:val="single" w:sz="4" w:space="0" w:color="auto"/>
            </w:tcBorders>
            <w:shd w:val="clear" w:color="auto" w:fill="auto"/>
            <w:noWrap/>
            <w:vAlign w:val="center"/>
            <w:hideMark/>
          </w:tcPr>
          <w:p w14:paraId="6D34E19E"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20C04BCF"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.762</w:t>
            </w:r>
          </w:p>
        </w:tc>
      </w:tr>
      <w:tr w:rsidR="00AC3704" w:rsidRPr="002F576D" w14:paraId="50465307"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1B75F0BA"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I26</w:t>
            </w:r>
          </w:p>
        </w:tc>
        <w:tc>
          <w:tcPr>
            <w:tcW w:w="620" w:type="dxa"/>
            <w:tcBorders>
              <w:top w:val="nil"/>
              <w:left w:val="nil"/>
              <w:bottom w:val="single" w:sz="4" w:space="0" w:color="auto"/>
              <w:right w:val="single" w:sz="4" w:space="0" w:color="auto"/>
            </w:tcBorders>
            <w:shd w:val="clear" w:color="auto" w:fill="auto"/>
            <w:noWrap/>
            <w:vAlign w:val="center"/>
            <w:hideMark/>
          </w:tcPr>
          <w:p w14:paraId="16A0DD46"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345587C5"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.772</w:t>
            </w:r>
          </w:p>
        </w:tc>
      </w:tr>
      <w:tr w:rsidR="00AC3704" w:rsidRPr="002F576D" w14:paraId="2B9A8A7B"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34EC11CE"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I27</w:t>
            </w:r>
          </w:p>
        </w:tc>
        <w:tc>
          <w:tcPr>
            <w:tcW w:w="620" w:type="dxa"/>
            <w:tcBorders>
              <w:top w:val="nil"/>
              <w:left w:val="nil"/>
              <w:bottom w:val="single" w:sz="4" w:space="0" w:color="auto"/>
              <w:right w:val="single" w:sz="4" w:space="0" w:color="auto"/>
            </w:tcBorders>
            <w:shd w:val="clear" w:color="auto" w:fill="auto"/>
            <w:noWrap/>
            <w:vAlign w:val="center"/>
            <w:hideMark/>
          </w:tcPr>
          <w:p w14:paraId="5F73D2A4"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7964D05D"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.755</w:t>
            </w:r>
          </w:p>
        </w:tc>
      </w:tr>
      <w:tr w:rsidR="00AC3704" w:rsidRPr="002F576D" w14:paraId="3C57AF1C"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62BF4C8D"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I28</w:t>
            </w:r>
          </w:p>
        </w:tc>
        <w:tc>
          <w:tcPr>
            <w:tcW w:w="620" w:type="dxa"/>
            <w:tcBorders>
              <w:top w:val="nil"/>
              <w:left w:val="nil"/>
              <w:bottom w:val="single" w:sz="4" w:space="0" w:color="auto"/>
              <w:right w:val="single" w:sz="4" w:space="0" w:color="auto"/>
            </w:tcBorders>
            <w:shd w:val="clear" w:color="auto" w:fill="auto"/>
            <w:noWrap/>
            <w:vAlign w:val="center"/>
            <w:hideMark/>
          </w:tcPr>
          <w:p w14:paraId="5FE89C15"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79B8A9D1"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.729</w:t>
            </w:r>
          </w:p>
        </w:tc>
      </w:tr>
      <w:tr w:rsidR="00AC3704" w:rsidRPr="002F576D" w14:paraId="76051327" w14:textId="77777777" w:rsidTr="00DE7C76">
        <w:trPr>
          <w:trHeight w:val="290"/>
          <w:jc w:val="center"/>
        </w:trPr>
        <w:tc>
          <w:tcPr>
            <w:tcW w:w="1320" w:type="dxa"/>
            <w:tcBorders>
              <w:top w:val="nil"/>
              <w:left w:val="single" w:sz="4" w:space="0" w:color="auto"/>
              <w:bottom w:val="single" w:sz="4" w:space="0" w:color="auto"/>
              <w:right w:val="single" w:sz="4" w:space="0" w:color="auto"/>
            </w:tcBorders>
            <w:shd w:val="clear" w:color="auto" w:fill="auto"/>
            <w:hideMark/>
          </w:tcPr>
          <w:p w14:paraId="0AE5AC80"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I29</w:t>
            </w:r>
          </w:p>
        </w:tc>
        <w:tc>
          <w:tcPr>
            <w:tcW w:w="620" w:type="dxa"/>
            <w:tcBorders>
              <w:top w:val="nil"/>
              <w:left w:val="nil"/>
              <w:bottom w:val="single" w:sz="4" w:space="0" w:color="auto"/>
              <w:right w:val="single" w:sz="4" w:space="0" w:color="auto"/>
            </w:tcBorders>
            <w:shd w:val="clear" w:color="auto" w:fill="auto"/>
            <w:noWrap/>
            <w:vAlign w:val="center"/>
            <w:hideMark/>
          </w:tcPr>
          <w:p w14:paraId="2817707C"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1.000</w:t>
            </w:r>
          </w:p>
        </w:tc>
        <w:tc>
          <w:tcPr>
            <w:tcW w:w="1040" w:type="dxa"/>
            <w:tcBorders>
              <w:top w:val="nil"/>
              <w:left w:val="nil"/>
              <w:bottom w:val="single" w:sz="4" w:space="0" w:color="auto"/>
              <w:right w:val="single" w:sz="4" w:space="0" w:color="auto"/>
            </w:tcBorders>
            <w:shd w:val="clear" w:color="auto" w:fill="auto"/>
            <w:noWrap/>
            <w:vAlign w:val="center"/>
            <w:hideMark/>
          </w:tcPr>
          <w:p w14:paraId="2643118D" w14:textId="77777777" w:rsidR="00AC3704" w:rsidRPr="002F576D" w:rsidRDefault="00AC3704" w:rsidP="00DE7C76">
            <w:pPr>
              <w:jc w:val="center"/>
              <w:rPr>
                <w:rFonts w:eastAsia="Times New Roman"/>
                <w:color w:val="000000"/>
                <w:lang w:eastAsia="es-MX"/>
              </w:rPr>
            </w:pPr>
            <w:r w:rsidRPr="002F576D">
              <w:rPr>
                <w:rFonts w:eastAsia="Times New Roman"/>
                <w:color w:val="000000"/>
                <w:lang w:eastAsia="es-MX"/>
              </w:rPr>
              <w:t>.598</w:t>
            </w:r>
          </w:p>
        </w:tc>
      </w:tr>
    </w:tbl>
    <w:p w14:paraId="3BBCC391" w14:textId="77777777" w:rsidR="00AC3704" w:rsidRPr="00CF0DDC" w:rsidRDefault="00AC3704" w:rsidP="002F576D">
      <w:pPr>
        <w:spacing w:line="360" w:lineRule="auto"/>
        <w:jc w:val="center"/>
        <w:rPr>
          <w:lang w:val="es-ES"/>
        </w:rPr>
      </w:pPr>
      <w:r w:rsidRPr="00CF0DDC">
        <w:rPr>
          <w:lang w:val="es-ES"/>
        </w:rPr>
        <w:t>Fuente: Elaboración propia</w:t>
      </w:r>
    </w:p>
    <w:p w14:paraId="53A76A04" w14:textId="77777777" w:rsidR="00AC3704" w:rsidRPr="00CF0DDC" w:rsidRDefault="00AC3704" w:rsidP="002F576D">
      <w:pPr>
        <w:spacing w:line="360" w:lineRule="auto"/>
        <w:jc w:val="both"/>
        <w:rPr>
          <w:lang w:val="es-ES"/>
        </w:rPr>
      </w:pPr>
      <w:r>
        <w:rPr>
          <w:lang w:val="es-ES"/>
        </w:rPr>
        <w:tab/>
      </w:r>
      <w:r w:rsidRPr="00CF0DDC">
        <w:rPr>
          <w:lang w:val="es-ES"/>
        </w:rPr>
        <w:t>Según se detalla en la tabla 4, los componentes muestran el siguiente comportamiento:</w:t>
      </w:r>
    </w:p>
    <w:p w14:paraId="589AFB36" w14:textId="77777777" w:rsidR="00AC3704" w:rsidRPr="00AE5F15" w:rsidRDefault="00AC3704" w:rsidP="002F576D">
      <w:pPr>
        <w:pStyle w:val="Prrafodelista"/>
        <w:numPr>
          <w:ilvl w:val="0"/>
          <w:numId w:val="8"/>
        </w:numPr>
        <w:spacing w:line="360" w:lineRule="auto"/>
        <w:jc w:val="both"/>
        <w:rPr>
          <w:rFonts w:ascii="Times New Roman" w:hAnsi="Times New Roman" w:cs="Times New Roman"/>
          <w:lang w:val="es-ES"/>
        </w:rPr>
      </w:pPr>
      <w:r w:rsidRPr="00AE5F15">
        <w:rPr>
          <w:rFonts w:ascii="Times New Roman" w:hAnsi="Times New Roman" w:cs="Times New Roman"/>
          <w:lang w:val="es-ES"/>
        </w:rPr>
        <w:t>El primer componente explica el 40.497 % de la varianza y consta de cinco preguntas.</w:t>
      </w:r>
    </w:p>
    <w:p w14:paraId="4CA425B3" w14:textId="77777777" w:rsidR="00AC3704" w:rsidRPr="00AE5F15" w:rsidRDefault="00AC3704" w:rsidP="002F576D">
      <w:pPr>
        <w:pStyle w:val="Prrafodelista"/>
        <w:numPr>
          <w:ilvl w:val="0"/>
          <w:numId w:val="8"/>
        </w:numPr>
        <w:spacing w:line="360" w:lineRule="auto"/>
        <w:jc w:val="both"/>
        <w:rPr>
          <w:rFonts w:ascii="Times New Roman" w:hAnsi="Times New Roman" w:cs="Times New Roman"/>
          <w:lang w:val="es-ES"/>
        </w:rPr>
      </w:pPr>
      <w:r w:rsidRPr="00AE5F15">
        <w:rPr>
          <w:rFonts w:ascii="Times New Roman" w:hAnsi="Times New Roman" w:cs="Times New Roman"/>
          <w:lang w:val="es-ES"/>
        </w:rPr>
        <w:t>El segundo el 9.184 % de la varianza con cuatro preguntas.</w:t>
      </w:r>
    </w:p>
    <w:p w14:paraId="5047311F" w14:textId="77777777" w:rsidR="00AC3704" w:rsidRPr="00AE5F15" w:rsidRDefault="00AC3704" w:rsidP="002F576D">
      <w:pPr>
        <w:pStyle w:val="Prrafodelista"/>
        <w:numPr>
          <w:ilvl w:val="0"/>
          <w:numId w:val="8"/>
        </w:numPr>
        <w:spacing w:line="360" w:lineRule="auto"/>
        <w:jc w:val="both"/>
        <w:rPr>
          <w:rFonts w:ascii="Times New Roman" w:hAnsi="Times New Roman" w:cs="Times New Roman"/>
          <w:lang w:val="es-ES"/>
        </w:rPr>
      </w:pPr>
      <w:r w:rsidRPr="00AE5F15">
        <w:rPr>
          <w:rFonts w:ascii="Times New Roman" w:hAnsi="Times New Roman" w:cs="Times New Roman"/>
          <w:lang w:val="es-ES"/>
        </w:rPr>
        <w:t>El tercer</w:t>
      </w:r>
      <w:r>
        <w:rPr>
          <w:rFonts w:ascii="Times New Roman" w:hAnsi="Times New Roman" w:cs="Times New Roman"/>
          <w:lang w:val="es-ES"/>
        </w:rPr>
        <w:t>o</w:t>
      </w:r>
      <w:r w:rsidRPr="00AE5F15">
        <w:rPr>
          <w:rFonts w:ascii="Times New Roman" w:hAnsi="Times New Roman" w:cs="Times New Roman"/>
          <w:lang w:val="es-ES"/>
        </w:rPr>
        <w:t xml:space="preserve"> el 8.056 % de la varianza y se compone de ocho preguntas.</w:t>
      </w:r>
    </w:p>
    <w:p w14:paraId="56345E15" w14:textId="77777777" w:rsidR="00AC3704" w:rsidRPr="00AE5F15" w:rsidRDefault="00AC3704" w:rsidP="002F576D">
      <w:pPr>
        <w:pStyle w:val="Prrafodelista"/>
        <w:numPr>
          <w:ilvl w:val="0"/>
          <w:numId w:val="8"/>
        </w:numPr>
        <w:spacing w:line="360" w:lineRule="auto"/>
        <w:jc w:val="both"/>
        <w:rPr>
          <w:rFonts w:ascii="Times New Roman" w:hAnsi="Times New Roman" w:cs="Times New Roman"/>
          <w:lang w:val="es-ES"/>
        </w:rPr>
      </w:pPr>
      <w:r w:rsidRPr="00AE5F15">
        <w:rPr>
          <w:rFonts w:ascii="Times New Roman" w:hAnsi="Times New Roman" w:cs="Times New Roman"/>
          <w:lang w:val="es-ES"/>
        </w:rPr>
        <w:t>El cuarto el 6.939 % de la varianza con cinco preguntas.</w:t>
      </w:r>
    </w:p>
    <w:p w14:paraId="320A3415" w14:textId="77777777" w:rsidR="00AC3704" w:rsidRPr="00AE5F15" w:rsidRDefault="00AC3704" w:rsidP="002F576D">
      <w:pPr>
        <w:pStyle w:val="Prrafodelista"/>
        <w:numPr>
          <w:ilvl w:val="0"/>
          <w:numId w:val="8"/>
        </w:numPr>
        <w:spacing w:line="360" w:lineRule="auto"/>
        <w:jc w:val="both"/>
        <w:rPr>
          <w:rFonts w:ascii="Times New Roman" w:hAnsi="Times New Roman" w:cs="Times New Roman"/>
          <w:lang w:val="es-ES"/>
        </w:rPr>
      </w:pPr>
      <w:r w:rsidRPr="00AE5F15">
        <w:rPr>
          <w:rFonts w:ascii="Times New Roman" w:hAnsi="Times New Roman" w:cs="Times New Roman"/>
          <w:lang w:val="es-ES"/>
        </w:rPr>
        <w:t>El quinto el 5.785 % de la varianza y se integra por tres preguntas.</w:t>
      </w:r>
    </w:p>
    <w:p w14:paraId="4C7CC50C" w14:textId="77777777" w:rsidR="00AC3704" w:rsidRPr="00AE5F15" w:rsidRDefault="00AC3704" w:rsidP="002F576D">
      <w:pPr>
        <w:pStyle w:val="Prrafodelista"/>
        <w:numPr>
          <w:ilvl w:val="0"/>
          <w:numId w:val="8"/>
        </w:numPr>
        <w:spacing w:line="360" w:lineRule="auto"/>
        <w:jc w:val="both"/>
        <w:rPr>
          <w:rFonts w:ascii="Times New Roman" w:hAnsi="Times New Roman" w:cs="Times New Roman"/>
          <w:lang w:val="es-ES"/>
        </w:rPr>
      </w:pPr>
      <w:r w:rsidRPr="00AE5F15">
        <w:rPr>
          <w:rFonts w:ascii="Times New Roman" w:hAnsi="Times New Roman" w:cs="Times New Roman"/>
          <w:lang w:val="es-ES"/>
        </w:rPr>
        <w:t>Finalmente, el sexto componente explica el 3.858 % de la varianza con cuatro preguntas.</w:t>
      </w:r>
    </w:p>
    <w:p w14:paraId="69A038C5" w14:textId="77777777" w:rsidR="00AC3704" w:rsidRDefault="00AC3704" w:rsidP="00AC3704">
      <w:pPr>
        <w:spacing w:before="160" w:line="360" w:lineRule="auto"/>
        <w:jc w:val="both"/>
        <w:rPr>
          <w:lang w:val="es-ES"/>
        </w:rPr>
      </w:pPr>
    </w:p>
    <w:p w14:paraId="2299A9AD" w14:textId="77777777" w:rsidR="004E1440" w:rsidRPr="00CF0DDC" w:rsidRDefault="004E1440" w:rsidP="00AC3704">
      <w:pPr>
        <w:spacing w:before="160" w:line="360" w:lineRule="auto"/>
        <w:jc w:val="both"/>
        <w:rPr>
          <w:lang w:val="es-ES"/>
        </w:rPr>
      </w:pPr>
    </w:p>
    <w:p w14:paraId="42AECE7C" w14:textId="77777777" w:rsidR="00AC3704" w:rsidRPr="00CF0DDC" w:rsidRDefault="00AC3704" w:rsidP="00AC3704">
      <w:pPr>
        <w:spacing w:line="360" w:lineRule="auto"/>
        <w:jc w:val="center"/>
      </w:pPr>
      <w:r w:rsidRPr="00CF0DDC">
        <w:rPr>
          <w:b/>
        </w:rPr>
        <w:t>Tabla 4.</w:t>
      </w:r>
      <w:r w:rsidRPr="00CF0DDC">
        <w:t xml:space="preserve"> Varianza total explicada</w:t>
      </w:r>
    </w:p>
    <w:tbl>
      <w:tblPr>
        <w:tblW w:w="5000" w:type="pct"/>
        <w:tblCellMar>
          <w:left w:w="70" w:type="dxa"/>
          <w:right w:w="70" w:type="dxa"/>
        </w:tblCellMar>
        <w:tblLook w:val="04A0" w:firstRow="1" w:lastRow="0" w:firstColumn="1" w:lastColumn="0" w:noHBand="0" w:noVBand="1"/>
      </w:tblPr>
      <w:tblGrid>
        <w:gridCol w:w="1270"/>
        <w:gridCol w:w="748"/>
        <w:gridCol w:w="889"/>
        <w:gridCol w:w="1109"/>
        <w:gridCol w:w="747"/>
        <w:gridCol w:w="888"/>
        <w:gridCol w:w="1109"/>
        <w:gridCol w:w="637"/>
        <w:gridCol w:w="888"/>
        <w:gridCol w:w="1109"/>
      </w:tblGrid>
      <w:tr w:rsidR="00AC3704" w:rsidRPr="002F576D" w14:paraId="13849F79" w14:textId="77777777" w:rsidTr="00DE7C76">
        <w:trPr>
          <w:trHeight w:val="290"/>
        </w:trPr>
        <w:tc>
          <w:tcPr>
            <w:tcW w:w="494"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7343A9F"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Componente</w:t>
            </w:r>
          </w:p>
        </w:tc>
        <w:tc>
          <w:tcPr>
            <w:tcW w:w="1685" w:type="pct"/>
            <w:gridSpan w:val="3"/>
            <w:tcBorders>
              <w:top w:val="single" w:sz="4" w:space="0" w:color="auto"/>
              <w:left w:val="nil"/>
              <w:bottom w:val="single" w:sz="4" w:space="0" w:color="auto"/>
              <w:right w:val="single" w:sz="4" w:space="0" w:color="auto"/>
            </w:tcBorders>
            <w:shd w:val="clear" w:color="auto" w:fill="auto"/>
            <w:vAlign w:val="bottom"/>
            <w:hideMark/>
          </w:tcPr>
          <w:p w14:paraId="39B9BBDB"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Autovalores iniciales</w:t>
            </w:r>
          </w:p>
        </w:tc>
        <w:tc>
          <w:tcPr>
            <w:tcW w:w="1429" w:type="pct"/>
            <w:gridSpan w:val="3"/>
            <w:tcBorders>
              <w:top w:val="single" w:sz="4" w:space="0" w:color="auto"/>
              <w:left w:val="nil"/>
              <w:bottom w:val="single" w:sz="4" w:space="0" w:color="auto"/>
              <w:right w:val="single" w:sz="4" w:space="0" w:color="auto"/>
            </w:tcBorders>
            <w:shd w:val="clear" w:color="auto" w:fill="auto"/>
            <w:vAlign w:val="bottom"/>
            <w:hideMark/>
          </w:tcPr>
          <w:p w14:paraId="25688F16"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Sumas de extracción de cargas al cuadrado</w:t>
            </w:r>
          </w:p>
        </w:tc>
        <w:tc>
          <w:tcPr>
            <w:tcW w:w="1392" w:type="pct"/>
            <w:gridSpan w:val="3"/>
            <w:tcBorders>
              <w:top w:val="single" w:sz="4" w:space="0" w:color="auto"/>
              <w:left w:val="nil"/>
              <w:bottom w:val="single" w:sz="4" w:space="0" w:color="auto"/>
              <w:right w:val="single" w:sz="4" w:space="0" w:color="auto"/>
            </w:tcBorders>
            <w:shd w:val="clear" w:color="auto" w:fill="auto"/>
            <w:vAlign w:val="bottom"/>
            <w:hideMark/>
          </w:tcPr>
          <w:p w14:paraId="37460041"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Sumas de rotación de cargas al cuadrado</w:t>
            </w:r>
          </w:p>
        </w:tc>
      </w:tr>
      <w:tr w:rsidR="00AC3704" w:rsidRPr="002F576D" w14:paraId="3A1CDEFB" w14:textId="77777777" w:rsidTr="00DE7C76">
        <w:trPr>
          <w:trHeight w:val="790"/>
        </w:trPr>
        <w:tc>
          <w:tcPr>
            <w:tcW w:w="494" w:type="pct"/>
            <w:vMerge/>
            <w:tcBorders>
              <w:top w:val="single" w:sz="4" w:space="0" w:color="auto"/>
              <w:left w:val="single" w:sz="4" w:space="0" w:color="auto"/>
              <w:bottom w:val="single" w:sz="4" w:space="0" w:color="auto"/>
              <w:right w:val="single" w:sz="4" w:space="0" w:color="auto"/>
            </w:tcBorders>
            <w:vAlign w:val="center"/>
            <w:hideMark/>
          </w:tcPr>
          <w:p w14:paraId="61E6A0F9" w14:textId="77777777" w:rsidR="00AC3704" w:rsidRPr="002F576D" w:rsidRDefault="00AC3704" w:rsidP="00DE7C76">
            <w:pPr>
              <w:jc w:val="both"/>
              <w:rPr>
                <w:rFonts w:eastAsia="Times New Roman"/>
                <w:color w:val="000000"/>
                <w:lang w:eastAsia="es-MX"/>
              </w:rPr>
            </w:pPr>
          </w:p>
        </w:tc>
        <w:tc>
          <w:tcPr>
            <w:tcW w:w="914" w:type="pct"/>
            <w:tcBorders>
              <w:top w:val="nil"/>
              <w:left w:val="nil"/>
              <w:bottom w:val="single" w:sz="4" w:space="0" w:color="auto"/>
              <w:right w:val="single" w:sz="4" w:space="0" w:color="auto"/>
            </w:tcBorders>
            <w:shd w:val="clear" w:color="auto" w:fill="auto"/>
            <w:vAlign w:val="bottom"/>
            <w:hideMark/>
          </w:tcPr>
          <w:p w14:paraId="67BA5D40"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Total</w:t>
            </w:r>
          </w:p>
        </w:tc>
        <w:tc>
          <w:tcPr>
            <w:tcW w:w="390" w:type="pct"/>
            <w:tcBorders>
              <w:top w:val="nil"/>
              <w:left w:val="nil"/>
              <w:bottom w:val="single" w:sz="4" w:space="0" w:color="auto"/>
              <w:right w:val="single" w:sz="4" w:space="0" w:color="auto"/>
            </w:tcBorders>
            <w:shd w:val="clear" w:color="auto" w:fill="auto"/>
            <w:vAlign w:val="bottom"/>
            <w:hideMark/>
          </w:tcPr>
          <w:p w14:paraId="7398568F"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 xml:space="preserve"> % de varianza</w:t>
            </w:r>
          </w:p>
        </w:tc>
        <w:tc>
          <w:tcPr>
            <w:tcW w:w="381" w:type="pct"/>
            <w:tcBorders>
              <w:top w:val="nil"/>
              <w:left w:val="nil"/>
              <w:bottom w:val="single" w:sz="4" w:space="0" w:color="auto"/>
              <w:right w:val="single" w:sz="4" w:space="0" w:color="auto"/>
            </w:tcBorders>
            <w:shd w:val="clear" w:color="auto" w:fill="auto"/>
            <w:vAlign w:val="bottom"/>
            <w:hideMark/>
          </w:tcPr>
          <w:p w14:paraId="363DA4E2"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 xml:space="preserve"> % acumulado</w:t>
            </w:r>
          </w:p>
        </w:tc>
        <w:tc>
          <w:tcPr>
            <w:tcW w:w="742" w:type="pct"/>
            <w:tcBorders>
              <w:top w:val="nil"/>
              <w:left w:val="nil"/>
              <w:bottom w:val="single" w:sz="4" w:space="0" w:color="auto"/>
              <w:right w:val="single" w:sz="4" w:space="0" w:color="auto"/>
            </w:tcBorders>
            <w:shd w:val="clear" w:color="auto" w:fill="auto"/>
            <w:vAlign w:val="bottom"/>
            <w:hideMark/>
          </w:tcPr>
          <w:p w14:paraId="75EB5288"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Total</w:t>
            </w:r>
          </w:p>
        </w:tc>
        <w:tc>
          <w:tcPr>
            <w:tcW w:w="306" w:type="pct"/>
            <w:tcBorders>
              <w:top w:val="nil"/>
              <w:left w:val="nil"/>
              <w:bottom w:val="single" w:sz="4" w:space="0" w:color="auto"/>
              <w:right w:val="single" w:sz="4" w:space="0" w:color="auto"/>
            </w:tcBorders>
            <w:shd w:val="clear" w:color="auto" w:fill="auto"/>
            <w:vAlign w:val="bottom"/>
            <w:hideMark/>
          </w:tcPr>
          <w:p w14:paraId="5FCA22D7"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 xml:space="preserve"> % de varianza</w:t>
            </w:r>
          </w:p>
        </w:tc>
        <w:tc>
          <w:tcPr>
            <w:tcW w:w="381" w:type="pct"/>
            <w:tcBorders>
              <w:top w:val="nil"/>
              <w:left w:val="nil"/>
              <w:bottom w:val="single" w:sz="4" w:space="0" w:color="auto"/>
              <w:right w:val="single" w:sz="4" w:space="0" w:color="auto"/>
            </w:tcBorders>
            <w:shd w:val="clear" w:color="auto" w:fill="auto"/>
            <w:vAlign w:val="bottom"/>
            <w:hideMark/>
          </w:tcPr>
          <w:p w14:paraId="68A7809F"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 xml:space="preserve"> % acumulado</w:t>
            </w:r>
          </w:p>
        </w:tc>
        <w:tc>
          <w:tcPr>
            <w:tcW w:w="704" w:type="pct"/>
            <w:tcBorders>
              <w:top w:val="nil"/>
              <w:left w:val="nil"/>
              <w:bottom w:val="single" w:sz="4" w:space="0" w:color="auto"/>
              <w:right w:val="single" w:sz="4" w:space="0" w:color="auto"/>
            </w:tcBorders>
            <w:shd w:val="clear" w:color="auto" w:fill="auto"/>
            <w:vAlign w:val="bottom"/>
            <w:hideMark/>
          </w:tcPr>
          <w:p w14:paraId="7CFE50E3"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Total</w:t>
            </w:r>
          </w:p>
        </w:tc>
        <w:tc>
          <w:tcPr>
            <w:tcW w:w="306" w:type="pct"/>
            <w:tcBorders>
              <w:top w:val="nil"/>
              <w:left w:val="nil"/>
              <w:bottom w:val="single" w:sz="4" w:space="0" w:color="auto"/>
              <w:right w:val="single" w:sz="4" w:space="0" w:color="auto"/>
            </w:tcBorders>
            <w:shd w:val="clear" w:color="auto" w:fill="auto"/>
            <w:vAlign w:val="bottom"/>
            <w:hideMark/>
          </w:tcPr>
          <w:p w14:paraId="437221B4"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 xml:space="preserve"> % de varianza</w:t>
            </w:r>
          </w:p>
        </w:tc>
        <w:tc>
          <w:tcPr>
            <w:tcW w:w="381" w:type="pct"/>
            <w:tcBorders>
              <w:top w:val="nil"/>
              <w:left w:val="nil"/>
              <w:bottom w:val="single" w:sz="4" w:space="0" w:color="auto"/>
              <w:right w:val="single" w:sz="4" w:space="0" w:color="auto"/>
            </w:tcBorders>
            <w:shd w:val="clear" w:color="auto" w:fill="auto"/>
            <w:vAlign w:val="bottom"/>
            <w:hideMark/>
          </w:tcPr>
          <w:p w14:paraId="0C83DF5E"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 xml:space="preserve"> % acumulado</w:t>
            </w:r>
          </w:p>
        </w:tc>
      </w:tr>
      <w:tr w:rsidR="00AC3704" w:rsidRPr="002F576D" w14:paraId="27B228D4" w14:textId="77777777" w:rsidTr="00DE7C76">
        <w:trPr>
          <w:trHeight w:val="290"/>
        </w:trPr>
        <w:tc>
          <w:tcPr>
            <w:tcW w:w="494" w:type="pct"/>
            <w:tcBorders>
              <w:top w:val="nil"/>
              <w:left w:val="single" w:sz="4" w:space="0" w:color="auto"/>
              <w:bottom w:val="single" w:sz="4" w:space="0" w:color="auto"/>
              <w:right w:val="single" w:sz="4" w:space="0" w:color="auto"/>
            </w:tcBorders>
            <w:shd w:val="clear" w:color="auto" w:fill="auto"/>
            <w:noWrap/>
            <w:hideMark/>
          </w:tcPr>
          <w:p w14:paraId="00A3281E"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1</w:t>
            </w:r>
          </w:p>
        </w:tc>
        <w:tc>
          <w:tcPr>
            <w:tcW w:w="914" w:type="pct"/>
            <w:tcBorders>
              <w:top w:val="nil"/>
              <w:left w:val="nil"/>
              <w:bottom w:val="single" w:sz="4" w:space="0" w:color="auto"/>
              <w:right w:val="single" w:sz="4" w:space="0" w:color="auto"/>
            </w:tcBorders>
            <w:shd w:val="clear" w:color="auto" w:fill="auto"/>
            <w:noWrap/>
            <w:vAlign w:val="center"/>
            <w:hideMark/>
          </w:tcPr>
          <w:p w14:paraId="0E46ADB7"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11.744</w:t>
            </w:r>
          </w:p>
        </w:tc>
        <w:tc>
          <w:tcPr>
            <w:tcW w:w="390" w:type="pct"/>
            <w:tcBorders>
              <w:top w:val="nil"/>
              <w:left w:val="nil"/>
              <w:bottom w:val="single" w:sz="4" w:space="0" w:color="auto"/>
              <w:right w:val="single" w:sz="4" w:space="0" w:color="auto"/>
            </w:tcBorders>
            <w:shd w:val="clear" w:color="auto" w:fill="auto"/>
            <w:noWrap/>
            <w:vAlign w:val="center"/>
            <w:hideMark/>
          </w:tcPr>
          <w:p w14:paraId="4882FC67"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40.497</w:t>
            </w:r>
          </w:p>
        </w:tc>
        <w:tc>
          <w:tcPr>
            <w:tcW w:w="381" w:type="pct"/>
            <w:tcBorders>
              <w:top w:val="nil"/>
              <w:left w:val="nil"/>
              <w:bottom w:val="single" w:sz="4" w:space="0" w:color="auto"/>
              <w:right w:val="single" w:sz="4" w:space="0" w:color="auto"/>
            </w:tcBorders>
            <w:shd w:val="clear" w:color="auto" w:fill="auto"/>
            <w:noWrap/>
            <w:vAlign w:val="center"/>
            <w:hideMark/>
          </w:tcPr>
          <w:p w14:paraId="6419E63A"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40.497</w:t>
            </w:r>
          </w:p>
        </w:tc>
        <w:tc>
          <w:tcPr>
            <w:tcW w:w="742" w:type="pct"/>
            <w:tcBorders>
              <w:top w:val="nil"/>
              <w:left w:val="nil"/>
              <w:bottom w:val="single" w:sz="4" w:space="0" w:color="auto"/>
              <w:right w:val="single" w:sz="4" w:space="0" w:color="auto"/>
            </w:tcBorders>
            <w:shd w:val="clear" w:color="auto" w:fill="auto"/>
            <w:noWrap/>
            <w:vAlign w:val="center"/>
            <w:hideMark/>
          </w:tcPr>
          <w:p w14:paraId="50A22951"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11.744</w:t>
            </w:r>
          </w:p>
        </w:tc>
        <w:tc>
          <w:tcPr>
            <w:tcW w:w="306" w:type="pct"/>
            <w:tcBorders>
              <w:top w:val="nil"/>
              <w:left w:val="nil"/>
              <w:bottom w:val="single" w:sz="4" w:space="0" w:color="auto"/>
              <w:right w:val="single" w:sz="4" w:space="0" w:color="auto"/>
            </w:tcBorders>
            <w:shd w:val="clear" w:color="auto" w:fill="auto"/>
            <w:noWrap/>
            <w:vAlign w:val="center"/>
            <w:hideMark/>
          </w:tcPr>
          <w:p w14:paraId="7817F7FE"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40.497</w:t>
            </w:r>
          </w:p>
        </w:tc>
        <w:tc>
          <w:tcPr>
            <w:tcW w:w="381" w:type="pct"/>
            <w:tcBorders>
              <w:top w:val="nil"/>
              <w:left w:val="nil"/>
              <w:bottom w:val="single" w:sz="4" w:space="0" w:color="auto"/>
              <w:right w:val="single" w:sz="4" w:space="0" w:color="auto"/>
            </w:tcBorders>
            <w:shd w:val="clear" w:color="auto" w:fill="auto"/>
            <w:noWrap/>
            <w:vAlign w:val="center"/>
            <w:hideMark/>
          </w:tcPr>
          <w:p w14:paraId="4A91B6DF"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40.497</w:t>
            </w:r>
          </w:p>
        </w:tc>
        <w:tc>
          <w:tcPr>
            <w:tcW w:w="704" w:type="pct"/>
            <w:tcBorders>
              <w:top w:val="nil"/>
              <w:left w:val="nil"/>
              <w:bottom w:val="single" w:sz="4" w:space="0" w:color="auto"/>
              <w:right w:val="single" w:sz="4" w:space="0" w:color="auto"/>
            </w:tcBorders>
            <w:shd w:val="clear" w:color="auto" w:fill="auto"/>
            <w:noWrap/>
            <w:vAlign w:val="center"/>
            <w:hideMark/>
          </w:tcPr>
          <w:p w14:paraId="53215C8E"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4.213</w:t>
            </w:r>
          </w:p>
        </w:tc>
        <w:tc>
          <w:tcPr>
            <w:tcW w:w="306" w:type="pct"/>
            <w:tcBorders>
              <w:top w:val="nil"/>
              <w:left w:val="nil"/>
              <w:bottom w:val="single" w:sz="4" w:space="0" w:color="auto"/>
              <w:right w:val="single" w:sz="4" w:space="0" w:color="auto"/>
            </w:tcBorders>
            <w:shd w:val="clear" w:color="auto" w:fill="auto"/>
            <w:noWrap/>
            <w:vAlign w:val="center"/>
            <w:hideMark/>
          </w:tcPr>
          <w:p w14:paraId="41E8A1BB"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14.526</w:t>
            </w:r>
          </w:p>
        </w:tc>
        <w:tc>
          <w:tcPr>
            <w:tcW w:w="381" w:type="pct"/>
            <w:tcBorders>
              <w:top w:val="nil"/>
              <w:left w:val="nil"/>
              <w:bottom w:val="single" w:sz="4" w:space="0" w:color="auto"/>
              <w:right w:val="single" w:sz="4" w:space="0" w:color="auto"/>
            </w:tcBorders>
            <w:shd w:val="clear" w:color="auto" w:fill="auto"/>
            <w:noWrap/>
            <w:vAlign w:val="center"/>
            <w:hideMark/>
          </w:tcPr>
          <w:p w14:paraId="14915D3A"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14.526</w:t>
            </w:r>
          </w:p>
        </w:tc>
      </w:tr>
      <w:tr w:rsidR="00AC3704" w:rsidRPr="002F576D" w14:paraId="10D34372" w14:textId="77777777" w:rsidTr="00DE7C76">
        <w:trPr>
          <w:trHeight w:val="290"/>
        </w:trPr>
        <w:tc>
          <w:tcPr>
            <w:tcW w:w="494" w:type="pct"/>
            <w:tcBorders>
              <w:top w:val="nil"/>
              <w:left w:val="single" w:sz="4" w:space="0" w:color="auto"/>
              <w:bottom w:val="single" w:sz="4" w:space="0" w:color="auto"/>
              <w:right w:val="single" w:sz="4" w:space="0" w:color="auto"/>
            </w:tcBorders>
            <w:shd w:val="clear" w:color="auto" w:fill="auto"/>
            <w:noWrap/>
            <w:hideMark/>
          </w:tcPr>
          <w:p w14:paraId="78D50DAD"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2</w:t>
            </w:r>
          </w:p>
        </w:tc>
        <w:tc>
          <w:tcPr>
            <w:tcW w:w="914" w:type="pct"/>
            <w:tcBorders>
              <w:top w:val="nil"/>
              <w:left w:val="nil"/>
              <w:bottom w:val="single" w:sz="4" w:space="0" w:color="auto"/>
              <w:right w:val="single" w:sz="4" w:space="0" w:color="auto"/>
            </w:tcBorders>
            <w:shd w:val="clear" w:color="auto" w:fill="auto"/>
            <w:noWrap/>
            <w:vAlign w:val="center"/>
            <w:hideMark/>
          </w:tcPr>
          <w:p w14:paraId="207A9CB0"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2.663</w:t>
            </w:r>
          </w:p>
        </w:tc>
        <w:tc>
          <w:tcPr>
            <w:tcW w:w="390" w:type="pct"/>
            <w:tcBorders>
              <w:top w:val="nil"/>
              <w:left w:val="nil"/>
              <w:bottom w:val="single" w:sz="4" w:space="0" w:color="auto"/>
              <w:right w:val="single" w:sz="4" w:space="0" w:color="auto"/>
            </w:tcBorders>
            <w:shd w:val="clear" w:color="auto" w:fill="auto"/>
            <w:noWrap/>
            <w:vAlign w:val="center"/>
            <w:hideMark/>
          </w:tcPr>
          <w:p w14:paraId="1AD9C2B6"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9.184</w:t>
            </w:r>
          </w:p>
        </w:tc>
        <w:tc>
          <w:tcPr>
            <w:tcW w:w="381" w:type="pct"/>
            <w:tcBorders>
              <w:top w:val="nil"/>
              <w:left w:val="nil"/>
              <w:bottom w:val="single" w:sz="4" w:space="0" w:color="auto"/>
              <w:right w:val="single" w:sz="4" w:space="0" w:color="auto"/>
            </w:tcBorders>
            <w:shd w:val="clear" w:color="auto" w:fill="auto"/>
            <w:noWrap/>
            <w:vAlign w:val="center"/>
            <w:hideMark/>
          </w:tcPr>
          <w:p w14:paraId="2F0F917E"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49.680</w:t>
            </w:r>
          </w:p>
        </w:tc>
        <w:tc>
          <w:tcPr>
            <w:tcW w:w="742" w:type="pct"/>
            <w:tcBorders>
              <w:top w:val="nil"/>
              <w:left w:val="nil"/>
              <w:bottom w:val="single" w:sz="4" w:space="0" w:color="auto"/>
              <w:right w:val="single" w:sz="4" w:space="0" w:color="auto"/>
            </w:tcBorders>
            <w:shd w:val="clear" w:color="auto" w:fill="auto"/>
            <w:noWrap/>
            <w:vAlign w:val="center"/>
            <w:hideMark/>
          </w:tcPr>
          <w:p w14:paraId="034D4C4B"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2.663</w:t>
            </w:r>
          </w:p>
        </w:tc>
        <w:tc>
          <w:tcPr>
            <w:tcW w:w="306" w:type="pct"/>
            <w:tcBorders>
              <w:top w:val="nil"/>
              <w:left w:val="nil"/>
              <w:bottom w:val="single" w:sz="4" w:space="0" w:color="auto"/>
              <w:right w:val="single" w:sz="4" w:space="0" w:color="auto"/>
            </w:tcBorders>
            <w:shd w:val="clear" w:color="auto" w:fill="auto"/>
            <w:noWrap/>
            <w:vAlign w:val="center"/>
            <w:hideMark/>
          </w:tcPr>
          <w:p w14:paraId="47749198"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9.184</w:t>
            </w:r>
          </w:p>
        </w:tc>
        <w:tc>
          <w:tcPr>
            <w:tcW w:w="381" w:type="pct"/>
            <w:tcBorders>
              <w:top w:val="nil"/>
              <w:left w:val="nil"/>
              <w:bottom w:val="single" w:sz="4" w:space="0" w:color="auto"/>
              <w:right w:val="single" w:sz="4" w:space="0" w:color="auto"/>
            </w:tcBorders>
            <w:shd w:val="clear" w:color="auto" w:fill="auto"/>
            <w:noWrap/>
            <w:vAlign w:val="center"/>
            <w:hideMark/>
          </w:tcPr>
          <w:p w14:paraId="5E023E79"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49.680</w:t>
            </w:r>
          </w:p>
        </w:tc>
        <w:tc>
          <w:tcPr>
            <w:tcW w:w="704" w:type="pct"/>
            <w:tcBorders>
              <w:top w:val="nil"/>
              <w:left w:val="nil"/>
              <w:bottom w:val="single" w:sz="4" w:space="0" w:color="auto"/>
              <w:right w:val="single" w:sz="4" w:space="0" w:color="auto"/>
            </w:tcBorders>
            <w:shd w:val="clear" w:color="auto" w:fill="auto"/>
            <w:noWrap/>
            <w:vAlign w:val="center"/>
            <w:hideMark/>
          </w:tcPr>
          <w:p w14:paraId="17239907"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3.999</w:t>
            </w:r>
          </w:p>
        </w:tc>
        <w:tc>
          <w:tcPr>
            <w:tcW w:w="306" w:type="pct"/>
            <w:tcBorders>
              <w:top w:val="nil"/>
              <w:left w:val="nil"/>
              <w:bottom w:val="single" w:sz="4" w:space="0" w:color="auto"/>
              <w:right w:val="single" w:sz="4" w:space="0" w:color="auto"/>
            </w:tcBorders>
            <w:shd w:val="clear" w:color="auto" w:fill="auto"/>
            <w:noWrap/>
            <w:vAlign w:val="center"/>
            <w:hideMark/>
          </w:tcPr>
          <w:p w14:paraId="4BB258B1"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13.791</w:t>
            </w:r>
          </w:p>
        </w:tc>
        <w:tc>
          <w:tcPr>
            <w:tcW w:w="381" w:type="pct"/>
            <w:tcBorders>
              <w:top w:val="nil"/>
              <w:left w:val="nil"/>
              <w:bottom w:val="single" w:sz="4" w:space="0" w:color="auto"/>
              <w:right w:val="single" w:sz="4" w:space="0" w:color="auto"/>
            </w:tcBorders>
            <w:shd w:val="clear" w:color="auto" w:fill="auto"/>
            <w:noWrap/>
            <w:vAlign w:val="center"/>
            <w:hideMark/>
          </w:tcPr>
          <w:p w14:paraId="14014C27"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28.317</w:t>
            </w:r>
          </w:p>
        </w:tc>
      </w:tr>
      <w:tr w:rsidR="00AC3704" w:rsidRPr="002F576D" w14:paraId="27D6E9B0" w14:textId="77777777" w:rsidTr="00DE7C76">
        <w:trPr>
          <w:trHeight w:val="290"/>
        </w:trPr>
        <w:tc>
          <w:tcPr>
            <w:tcW w:w="494" w:type="pct"/>
            <w:tcBorders>
              <w:top w:val="nil"/>
              <w:left w:val="single" w:sz="4" w:space="0" w:color="auto"/>
              <w:bottom w:val="single" w:sz="4" w:space="0" w:color="auto"/>
              <w:right w:val="single" w:sz="4" w:space="0" w:color="auto"/>
            </w:tcBorders>
            <w:shd w:val="clear" w:color="auto" w:fill="auto"/>
            <w:noWrap/>
            <w:hideMark/>
          </w:tcPr>
          <w:p w14:paraId="13CF26A3"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3</w:t>
            </w:r>
          </w:p>
        </w:tc>
        <w:tc>
          <w:tcPr>
            <w:tcW w:w="914" w:type="pct"/>
            <w:tcBorders>
              <w:top w:val="nil"/>
              <w:left w:val="nil"/>
              <w:bottom w:val="single" w:sz="4" w:space="0" w:color="auto"/>
              <w:right w:val="single" w:sz="4" w:space="0" w:color="auto"/>
            </w:tcBorders>
            <w:shd w:val="clear" w:color="auto" w:fill="auto"/>
            <w:noWrap/>
            <w:vAlign w:val="center"/>
            <w:hideMark/>
          </w:tcPr>
          <w:p w14:paraId="0D09F3DD"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2.336</w:t>
            </w:r>
          </w:p>
        </w:tc>
        <w:tc>
          <w:tcPr>
            <w:tcW w:w="390" w:type="pct"/>
            <w:tcBorders>
              <w:top w:val="nil"/>
              <w:left w:val="nil"/>
              <w:bottom w:val="single" w:sz="4" w:space="0" w:color="auto"/>
              <w:right w:val="single" w:sz="4" w:space="0" w:color="auto"/>
            </w:tcBorders>
            <w:shd w:val="clear" w:color="auto" w:fill="auto"/>
            <w:noWrap/>
            <w:vAlign w:val="center"/>
            <w:hideMark/>
          </w:tcPr>
          <w:p w14:paraId="51DD250C"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8.056</w:t>
            </w:r>
          </w:p>
        </w:tc>
        <w:tc>
          <w:tcPr>
            <w:tcW w:w="381" w:type="pct"/>
            <w:tcBorders>
              <w:top w:val="nil"/>
              <w:left w:val="nil"/>
              <w:bottom w:val="single" w:sz="4" w:space="0" w:color="auto"/>
              <w:right w:val="single" w:sz="4" w:space="0" w:color="auto"/>
            </w:tcBorders>
            <w:shd w:val="clear" w:color="auto" w:fill="auto"/>
            <w:noWrap/>
            <w:vAlign w:val="center"/>
            <w:hideMark/>
          </w:tcPr>
          <w:p w14:paraId="2BE32D4E"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57.737</w:t>
            </w:r>
          </w:p>
        </w:tc>
        <w:tc>
          <w:tcPr>
            <w:tcW w:w="742" w:type="pct"/>
            <w:tcBorders>
              <w:top w:val="nil"/>
              <w:left w:val="nil"/>
              <w:bottom w:val="single" w:sz="4" w:space="0" w:color="auto"/>
              <w:right w:val="single" w:sz="4" w:space="0" w:color="auto"/>
            </w:tcBorders>
            <w:shd w:val="clear" w:color="auto" w:fill="auto"/>
            <w:noWrap/>
            <w:vAlign w:val="center"/>
            <w:hideMark/>
          </w:tcPr>
          <w:p w14:paraId="454DCB0C"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2.336</w:t>
            </w:r>
          </w:p>
        </w:tc>
        <w:tc>
          <w:tcPr>
            <w:tcW w:w="306" w:type="pct"/>
            <w:tcBorders>
              <w:top w:val="nil"/>
              <w:left w:val="nil"/>
              <w:bottom w:val="single" w:sz="4" w:space="0" w:color="auto"/>
              <w:right w:val="single" w:sz="4" w:space="0" w:color="auto"/>
            </w:tcBorders>
            <w:shd w:val="clear" w:color="auto" w:fill="auto"/>
            <w:noWrap/>
            <w:vAlign w:val="center"/>
            <w:hideMark/>
          </w:tcPr>
          <w:p w14:paraId="547370A9"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8.056</w:t>
            </w:r>
          </w:p>
        </w:tc>
        <w:tc>
          <w:tcPr>
            <w:tcW w:w="381" w:type="pct"/>
            <w:tcBorders>
              <w:top w:val="nil"/>
              <w:left w:val="nil"/>
              <w:bottom w:val="single" w:sz="4" w:space="0" w:color="auto"/>
              <w:right w:val="single" w:sz="4" w:space="0" w:color="auto"/>
            </w:tcBorders>
            <w:shd w:val="clear" w:color="auto" w:fill="auto"/>
            <w:noWrap/>
            <w:vAlign w:val="center"/>
            <w:hideMark/>
          </w:tcPr>
          <w:p w14:paraId="6BB5F369"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57.737</w:t>
            </w:r>
          </w:p>
        </w:tc>
        <w:tc>
          <w:tcPr>
            <w:tcW w:w="704" w:type="pct"/>
            <w:tcBorders>
              <w:top w:val="nil"/>
              <w:left w:val="nil"/>
              <w:bottom w:val="single" w:sz="4" w:space="0" w:color="auto"/>
              <w:right w:val="single" w:sz="4" w:space="0" w:color="auto"/>
            </w:tcBorders>
            <w:shd w:val="clear" w:color="auto" w:fill="auto"/>
            <w:noWrap/>
            <w:vAlign w:val="center"/>
            <w:hideMark/>
          </w:tcPr>
          <w:p w14:paraId="3E47F230"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3.815</w:t>
            </w:r>
          </w:p>
        </w:tc>
        <w:tc>
          <w:tcPr>
            <w:tcW w:w="306" w:type="pct"/>
            <w:tcBorders>
              <w:top w:val="nil"/>
              <w:left w:val="nil"/>
              <w:bottom w:val="single" w:sz="4" w:space="0" w:color="auto"/>
              <w:right w:val="single" w:sz="4" w:space="0" w:color="auto"/>
            </w:tcBorders>
            <w:shd w:val="clear" w:color="auto" w:fill="auto"/>
            <w:noWrap/>
            <w:vAlign w:val="center"/>
            <w:hideMark/>
          </w:tcPr>
          <w:p w14:paraId="6922FCC4"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13.156</w:t>
            </w:r>
          </w:p>
        </w:tc>
        <w:tc>
          <w:tcPr>
            <w:tcW w:w="381" w:type="pct"/>
            <w:tcBorders>
              <w:top w:val="nil"/>
              <w:left w:val="nil"/>
              <w:bottom w:val="single" w:sz="4" w:space="0" w:color="auto"/>
              <w:right w:val="single" w:sz="4" w:space="0" w:color="auto"/>
            </w:tcBorders>
            <w:shd w:val="clear" w:color="auto" w:fill="auto"/>
            <w:noWrap/>
            <w:vAlign w:val="center"/>
            <w:hideMark/>
          </w:tcPr>
          <w:p w14:paraId="7E47E987"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41.473</w:t>
            </w:r>
          </w:p>
        </w:tc>
      </w:tr>
      <w:tr w:rsidR="00AC3704" w:rsidRPr="002F576D" w14:paraId="709F1B58" w14:textId="77777777" w:rsidTr="00DE7C76">
        <w:trPr>
          <w:trHeight w:val="290"/>
        </w:trPr>
        <w:tc>
          <w:tcPr>
            <w:tcW w:w="494" w:type="pct"/>
            <w:tcBorders>
              <w:top w:val="nil"/>
              <w:left w:val="single" w:sz="4" w:space="0" w:color="auto"/>
              <w:bottom w:val="single" w:sz="4" w:space="0" w:color="auto"/>
              <w:right w:val="single" w:sz="4" w:space="0" w:color="auto"/>
            </w:tcBorders>
            <w:shd w:val="clear" w:color="auto" w:fill="auto"/>
            <w:noWrap/>
            <w:hideMark/>
          </w:tcPr>
          <w:p w14:paraId="7ACFD256"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4</w:t>
            </w:r>
          </w:p>
        </w:tc>
        <w:tc>
          <w:tcPr>
            <w:tcW w:w="914" w:type="pct"/>
            <w:tcBorders>
              <w:top w:val="nil"/>
              <w:left w:val="nil"/>
              <w:bottom w:val="single" w:sz="4" w:space="0" w:color="auto"/>
              <w:right w:val="single" w:sz="4" w:space="0" w:color="auto"/>
            </w:tcBorders>
            <w:shd w:val="clear" w:color="auto" w:fill="auto"/>
            <w:noWrap/>
            <w:vAlign w:val="center"/>
            <w:hideMark/>
          </w:tcPr>
          <w:p w14:paraId="11C51F70"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2.012</w:t>
            </w:r>
          </w:p>
        </w:tc>
        <w:tc>
          <w:tcPr>
            <w:tcW w:w="390" w:type="pct"/>
            <w:tcBorders>
              <w:top w:val="nil"/>
              <w:left w:val="nil"/>
              <w:bottom w:val="single" w:sz="4" w:space="0" w:color="auto"/>
              <w:right w:val="single" w:sz="4" w:space="0" w:color="auto"/>
            </w:tcBorders>
            <w:shd w:val="clear" w:color="auto" w:fill="auto"/>
            <w:noWrap/>
            <w:vAlign w:val="center"/>
            <w:hideMark/>
          </w:tcPr>
          <w:p w14:paraId="5253B845"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6.939</w:t>
            </w:r>
          </w:p>
        </w:tc>
        <w:tc>
          <w:tcPr>
            <w:tcW w:w="381" w:type="pct"/>
            <w:tcBorders>
              <w:top w:val="nil"/>
              <w:left w:val="nil"/>
              <w:bottom w:val="single" w:sz="4" w:space="0" w:color="auto"/>
              <w:right w:val="single" w:sz="4" w:space="0" w:color="auto"/>
            </w:tcBorders>
            <w:shd w:val="clear" w:color="auto" w:fill="auto"/>
            <w:noWrap/>
            <w:vAlign w:val="center"/>
            <w:hideMark/>
          </w:tcPr>
          <w:p w14:paraId="70D10BD3"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64.676</w:t>
            </w:r>
          </w:p>
        </w:tc>
        <w:tc>
          <w:tcPr>
            <w:tcW w:w="742" w:type="pct"/>
            <w:tcBorders>
              <w:top w:val="nil"/>
              <w:left w:val="nil"/>
              <w:bottom w:val="single" w:sz="4" w:space="0" w:color="auto"/>
              <w:right w:val="single" w:sz="4" w:space="0" w:color="auto"/>
            </w:tcBorders>
            <w:shd w:val="clear" w:color="auto" w:fill="auto"/>
            <w:noWrap/>
            <w:vAlign w:val="center"/>
            <w:hideMark/>
          </w:tcPr>
          <w:p w14:paraId="1EBF98E9"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2.012</w:t>
            </w:r>
          </w:p>
        </w:tc>
        <w:tc>
          <w:tcPr>
            <w:tcW w:w="306" w:type="pct"/>
            <w:tcBorders>
              <w:top w:val="nil"/>
              <w:left w:val="nil"/>
              <w:bottom w:val="single" w:sz="4" w:space="0" w:color="auto"/>
              <w:right w:val="single" w:sz="4" w:space="0" w:color="auto"/>
            </w:tcBorders>
            <w:shd w:val="clear" w:color="auto" w:fill="auto"/>
            <w:noWrap/>
            <w:vAlign w:val="center"/>
            <w:hideMark/>
          </w:tcPr>
          <w:p w14:paraId="3759F4D7"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6.939</w:t>
            </w:r>
          </w:p>
        </w:tc>
        <w:tc>
          <w:tcPr>
            <w:tcW w:w="381" w:type="pct"/>
            <w:tcBorders>
              <w:top w:val="nil"/>
              <w:left w:val="nil"/>
              <w:bottom w:val="single" w:sz="4" w:space="0" w:color="auto"/>
              <w:right w:val="single" w:sz="4" w:space="0" w:color="auto"/>
            </w:tcBorders>
            <w:shd w:val="clear" w:color="auto" w:fill="auto"/>
            <w:noWrap/>
            <w:vAlign w:val="center"/>
            <w:hideMark/>
          </w:tcPr>
          <w:p w14:paraId="1112BFEA"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64.676</w:t>
            </w:r>
          </w:p>
        </w:tc>
        <w:tc>
          <w:tcPr>
            <w:tcW w:w="704" w:type="pct"/>
            <w:tcBorders>
              <w:top w:val="nil"/>
              <w:left w:val="nil"/>
              <w:bottom w:val="single" w:sz="4" w:space="0" w:color="auto"/>
              <w:right w:val="single" w:sz="4" w:space="0" w:color="auto"/>
            </w:tcBorders>
            <w:shd w:val="clear" w:color="auto" w:fill="auto"/>
            <w:noWrap/>
            <w:vAlign w:val="center"/>
            <w:hideMark/>
          </w:tcPr>
          <w:p w14:paraId="17592563"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3.641</w:t>
            </w:r>
          </w:p>
        </w:tc>
        <w:tc>
          <w:tcPr>
            <w:tcW w:w="306" w:type="pct"/>
            <w:tcBorders>
              <w:top w:val="nil"/>
              <w:left w:val="nil"/>
              <w:bottom w:val="single" w:sz="4" w:space="0" w:color="auto"/>
              <w:right w:val="single" w:sz="4" w:space="0" w:color="auto"/>
            </w:tcBorders>
            <w:shd w:val="clear" w:color="auto" w:fill="auto"/>
            <w:noWrap/>
            <w:vAlign w:val="center"/>
            <w:hideMark/>
          </w:tcPr>
          <w:p w14:paraId="51FC1557"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12.556</w:t>
            </w:r>
          </w:p>
        </w:tc>
        <w:tc>
          <w:tcPr>
            <w:tcW w:w="381" w:type="pct"/>
            <w:tcBorders>
              <w:top w:val="nil"/>
              <w:left w:val="nil"/>
              <w:bottom w:val="single" w:sz="4" w:space="0" w:color="auto"/>
              <w:right w:val="single" w:sz="4" w:space="0" w:color="auto"/>
            </w:tcBorders>
            <w:shd w:val="clear" w:color="auto" w:fill="auto"/>
            <w:noWrap/>
            <w:vAlign w:val="center"/>
            <w:hideMark/>
          </w:tcPr>
          <w:p w14:paraId="4ECB844B"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54.029</w:t>
            </w:r>
          </w:p>
        </w:tc>
      </w:tr>
      <w:tr w:rsidR="00AC3704" w:rsidRPr="002F576D" w14:paraId="7F318138" w14:textId="77777777" w:rsidTr="00DE7C76">
        <w:trPr>
          <w:trHeight w:val="290"/>
        </w:trPr>
        <w:tc>
          <w:tcPr>
            <w:tcW w:w="494" w:type="pct"/>
            <w:tcBorders>
              <w:top w:val="nil"/>
              <w:left w:val="single" w:sz="4" w:space="0" w:color="auto"/>
              <w:bottom w:val="single" w:sz="4" w:space="0" w:color="auto"/>
              <w:right w:val="single" w:sz="4" w:space="0" w:color="auto"/>
            </w:tcBorders>
            <w:shd w:val="clear" w:color="auto" w:fill="auto"/>
            <w:noWrap/>
            <w:hideMark/>
          </w:tcPr>
          <w:p w14:paraId="22E8E09A"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5</w:t>
            </w:r>
          </w:p>
        </w:tc>
        <w:tc>
          <w:tcPr>
            <w:tcW w:w="914" w:type="pct"/>
            <w:tcBorders>
              <w:top w:val="nil"/>
              <w:left w:val="nil"/>
              <w:bottom w:val="single" w:sz="4" w:space="0" w:color="auto"/>
              <w:right w:val="single" w:sz="4" w:space="0" w:color="auto"/>
            </w:tcBorders>
            <w:shd w:val="clear" w:color="auto" w:fill="auto"/>
            <w:noWrap/>
            <w:vAlign w:val="center"/>
            <w:hideMark/>
          </w:tcPr>
          <w:p w14:paraId="5AFD417F"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1.678</w:t>
            </w:r>
          </w:p>
        </w:tc>
        <w:tc>
          <w:tcPr>
            <w:tcW w:w="390" w:type="pct"/>
            <w:tcBorders>
              <w:top w:val="nil"/>
              <w:left w:val="nil"/>
              <w:bottom w:val="single" w:sz="4" w:space="0" w:color="auto"/>
              <w:right w:val="single" w:sz="4" w:space="0" w:color="auto"/>
            </w:tcBorders>
            <w:shd w:val="clear" w:color="auto" w:fill="auto"/>
            <w:noWrap/>
            <w:vAlign w:val="center"/>
            <w:hideMark/>
          </w:tcPr>
          <w:p w14:paraId="40C67EE7"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5.785</w:t>
            </w:r>
          </w:p>
        </w:tc>
        <w:tc>
          <w:tcPr>
            <w:tcW w:w="381" w:type="pct"/>
            <w:tcBorders>
              <w:top w:val="nil"/>
              <w:left w:val="nil"/>
              <w:bottom w:val="single" w:sz="4" w:space="0" w:color="auto"/>
              <w:right w:val="single" w:sz="4" w:space="0" w:color="auto"/>
            </w:tcBorders>
            <w:shd w:val="clear" w:color="auto" w:fill="auto"/>
            <w:noWrap/>
            <w:vAlign w:val="center"/>
            <w:hideMark/>
          </w:tcPr>
          <w:p w14:paraId="19FF2EA0"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70.461</w:t>
            </w:r>
          </w:p>
        </w:tc>
        <w:tc>
          <w:tcPr>
            <w:tcW w:w="742" w:type="pct"/>
            <w:tcBorders>
              <w:top w:val="nil"/>
              <w:left w:val="nil"/>
              <w:bottom w:val="single" w:sz="4" w:space="0" w:color="auto"/>
              <w:right w:val="single" w:sz="4" w:space="0" w:color="auto"/>
            </w:tcBorders>
            <w:shd w:val="clear" w:color="auto" w:fill="auto"/>
            <w:noWrap/>
            <w:vAlign w:val="center"/>
            <w:hideMark/>
          </w:tcPr>
          <w:p w14:paraId="6DAC6745"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1.678</w:t>
            </w:r>
          </w:p>
        </w:tc>
        <w:tc>
          <w:tcPr>
            <w:tcW w:w="306" w:type="pct"/>
            <w:tcBorders>
              <w:top w:val="nil"/>
              <w:left w:val="nil"/>
              <w:bottom w:val="single" w:sz="4" w:space="0" w:color="auto"/>
              <w:right w:val="single" w:sz="4" w:space="0" w:color="auto"/>
            </w:tcBorders>
            <w:shd w:val="clear" w:color="auto" w:fill="auto"/>
            <w:noWrap/>
            <w:vAlign w:val="center"/>
            <w:hideMark/>
          </w:tcPr>
          <w:p w14:paraId="0A02B649"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5.785</w:t>
            </w:r>
          </w:p>
        </w:tc>
        <w:tc>
          <w:tcPr>
            <w:tcW w:w="381" w:type="pct"/>
            <w:tcBorders>
              <w:top w:val="nil"/>
              <w:left w:val="nil"/>
              <w:bottom w:val="single" w:sz="4" w:space="0" w:color="auto"/>
              <w:right w:val="single" w:sz="4" w:space="0" w:color="auto"/>
            </w:tcBorders>
            <w:shd w:val="clear" w:color="auto" w:fill="auto"/>
            <w:noWrap/>
            <w:vAlign w:val="center"/>
            <w:hideMark/>
          </w:tcPr>
          <w:p w14:paraId="2517B782"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70.461</w:t>
            </w:r>
          </w:p>
        </w:tc>
        <w:tc>
          <w:tcPr>
            <w:tcW w:w="704" w:type="pct"/>
            <w:tcBorders>
              <w:top w:val="nil"/>
              <w:left w:val="nil"/>
              <w:bottom w:val="single" w:sz="4" w:space="0" w:color="auto"/>
              <w:right w:val="single" w:sz="4" w:space="0" w:color="auto"/>
            </w:tcBorders>
            <w:shd w:val="clear" w:color="auto" w:fill="auto"/>
            <w:noWrap/>
            <w:vAlign w:val="center"/>
            <w:hideMark/>
          </w:tcPr>
          <w:p w14:paraId="19E7B76B"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2.996</w:t>
            </w:r>
          </w:p>
        </w:tc>
        <w:tc>
          <w:tcPr>
            <w:tcW w:w="306" w:type="pct"/>
            <w:tcBorders>
              <w:top w:val="nil"/>
              <w:left w:val="nil"/>
              <w:bottom w:val="single" w:sz="4" w:space="0" w:color="auto"/>
              <w:right w:val="single" w:sz="4" w:space="0" w:color="auto"/>
            </w:tcBorders>
            <w:shd w:val="clear" w:color="auto" w:fill="auto"/>
            <w:noWrap/>
            <w:vAlign w:val="center"/>
            <w:hideMark/>
          </w:tcPr>
          <w:p w14:paraId="69743865"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10.330</w:t>
            </w:r>
          </w:p>
        </w:tc>
        <w:tc>
          <w:tcPr>
            <w:tcW w:w="381" w:type="pct"/>
            <w:tcBorders>
              <w:top w:val="nil"/>
              <w:left w:val="nil"/>
              <w:bottom w:val="single" w:sz="4" w:space="0" w:color="auto"/>
              <w:right w:val="single" w:sz="4" w:space="0" w:color="auto"/>
            </w:tcBorders>
            <w:shd w:val="clear" w:color="auto" w:fill="auto"/>
            <w:noWrap/>
            <w:vAlign w:val="center"/>
            <w:hideMark/>
          </w:tcPr>
          <w:p w14:paraId="2AA46132"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64.359</w:t>
            </w:r>
          </w:p>
        </w:tc>
      </w:tr>
      <w:tr w:rsidR="00AC3704" w:rsidRPr="002F576D" w14:paraId="00F0F40F" w14:textId="77777777" w:rsidTr="00DE7C76">
        <w:trPr>
          <w:trHeight w:val="290"/>
        </w:trPr>
        <w:tc>
          <w:tcPr>
            <w:tcW w:w="494" w:type="pct"/>
            <w:tcBorders>
              <w:top w:val="nil"/>
              <w:left w:val="single" w:sz="4" w:space="0" w:color="auto"/>
              <w:bottom w:val="single" w:sz="4" w:space="0" w:color="auto"/>
              <w:right w:val="single" w:sz="4" w:space="0" w:color="auto"/>
            </w:tcBorders>
            <w:shd w:val="clear" w:color="auto" w:fill="auto"/>
            <w:noWrap/>
            <w:hideMark/>
          </w:tcPr>
          <w:p w14:paraId="29373B2E"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6</w:t>
            </w:r>
          </w:p>
        </w:tc>
        <w:tc>
          <w:tcPr>
            <w:tcW w:w="914" w:type="pct"/>
            <w:tcBorders>
              <w:top w:val="nil"/>
              <w:left w:val="nil"/>
              <w:bottom w:val="single" w:sz="4" w:space="0" w:color="auto"/>
              <w:right w:val="single" w:sz="4" w:space="0" w:color="auto"/>
            </w:tcBorders>
            <w:shd w:val="clear" w:color="auto" w:fill="auto"/>
            <w:noWrap/>
            <w:vAlign w:val="center"/>
            <w:hideMark/>
          </w:tcPr>
          <w:p w14:paraId="46E614AC"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1.119</w:t>
            </w:r>
          </w:p>
        </w:tc>
        <w:tc>
          <w:tcPr>
            <w:tcW w:w="390" w:type="pct"/>
            <w:tcBorders>
              <w:top w:val="nil"/>
              <w:left w:val="nil"/>
              <w:bottom w:val="single" w:sz="4" w:space="0" w:color="auto"/>
              <w:right w:val="single" w:sz="4" w:space="0" w:color="auto"/>
            </w:tcBorders>
            <w:shd w:val="clear" w:color="auto" w:fill="auto"/>
            <w:noWrap/>
            <w:vAlign w:val="center"/>
            <w:hideMark/>
          </w:tcPr>
          <w:p w14:paraId="03B3F6D6"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3.858</w:t>
            </w:r>
          </w:p>
        </w:tc>
        <w:tc>
          <w:tcPr>
            <w:tcW w:w="381" w:type="pct"/>
            <w:tcBorders>
              <w:top w:val="nil"/>
              <w:left w:val="nil"/>
              <w:bottom w:val="single" w:sz="4" w:space="0" w:color="auto"/>
              <w:right w:val="single" w:sz="4" w:space="0" w:color="auto"/>
            </w:tcBorders>
            <w:shd w:val="clear" w:color="auto" w:fill="auto"/>
            <w:noWrap/>
            <w:vAlign w:val="center"/>
            <w:hideMark/>
          </w:tcPr>
          <w:p w14:paraId="2A1115E2"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74.320</w:t>
            </w:r>
          </w:p>
        </w:tc>
        <w:tc>
          <w:tcPr>
            <w:tcW w:w="742" w:type="pct"/>
            <w:tcBorders>
              <w:top w:val="nil"/>
              <w:left w:val="nil"/>
              <w:bottom w:val="single" w:sz="4" w:space="0" w:color="auto"/>
              <w:right w:val="single" w:sz="4" w:space="0" w:color="auto"/>
            </w:tcBorders>
            <w:shd w:val="clear" w:color="auto" w:fill="auto"/>
            <w:noWrap/>
            <w:vAlign w:val="center"/>
            <w:hideMark/>
          </w:tcPr>
          <w:p w14:paraId="6C814408"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1.119</w:t>
            </w:r>
          </w:p>
        </w:tc>
        <w:tc>
          <w:tcPr>
            <w:tcW w:w="306" w:type="pct"/>
            <w:tcBorders>
              <w:top w:val="nil"/>
              <w:left w:val="nil"/>
              <w:bottom w:val="single" w:sz="4" w:space="0" w:color="auto"/>
              <w:right w:val="single" w:sz="4" w:space="0" w:color="auto"/>
            </w:tcBorders>
            <w:shd w:val="clear" w:color="auto" w:fill="auto"/>
            <w:noWrap/>
            <w:vAlign w:val="center"/>
            <w:hideMark/>
          </w:tcPr>
          <w:p w14:paraId="361BEB4E"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3.858</w:t>
            </w:r>
          </w:p>
        </w:tc>
        <w:tc>
          <w:tcPr>
            <w:tcW w:w="381" w:type="pct"/>
            <w:tcBorders>
              <w:top w:val="nil"/>
              <w:left w:val="nil"/>
              <w:bottom w:val="single" w:sz="4" w:space="0" w:color="auto"/>
              <w:right w:val="single" w:sz="4" w:space="0" w:color="auto"/>
            </w:tcBorders>
            <w:shd w:val="clear" w:color="auto" w:fill="auto"/>
            <w:noWrap/>
            <w:vAlign w:val="center"/>
            <w:hideMark/>
          </w:tcPr>
          <w:p w14:paraId="681EE7AD"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74.320</w:t>
            </w:r>
          </w:p>
        </w:tc>
        <w:tc>
          <w:tcPr>
            <w:tcW w:w="704" w:type="pct"/>
            <w:tcBorders>
              <w:top w:val="nil"/>
              <w:left w:val="nil"/>
              <w:bottom w:val="single" w:sz="4" w:space="0" w:color="auto"/>
              <w:right w:val="single" w:sz="4" w:space="0" w:color="auto"/>
            </w:tcBorders>
            <w:shd w:val="clear" w:color="auto" w:fill="auto"/>
            <w:noWrap/>
            <w:vAlign w:val="center"/>
            <w:hideMark/>
          </w:tcPr>
          <w:p w14:paraId="04AAB79C"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2.888</w:t>
            </w:r>
          </w:p>
        </w:tc>
        <w:tc>
          <w:tcPr>
            <w:tcW w:w="306" w:type="pct"/>
            <w:tcBorders>
              <w:top w:val="nil"/>
              <w:left w:val="nil"/>
              <w:bottom w:val="single" w:sz="4" w:space="0" w:color="auto"/>
              <w:right w:val="single" w:sz="4" w:space="0" w:color="auto"/>
            </w:tcBorders>
            <w:shd w:val="clear" w:color="auto" w:fill="auto"/>
            <w:noWrap/>
            <w:vAlign w:val="center"/>
            <w:hideMark/>
          </w:tcPr>
          <w:p w14:paraId="24529465"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9.960</w:t>
            </w:r>
          </w:p>
        </w:tc>
        <w:tc>
          <w:tcPr>
            <w:tcW w:w="381" w:type="pct"/>
            <w:tcBorders>
              <w:top w:val="nil"/>
              <w:left w:val="nil"/>
              <w:bottom w:val="single" w:sz="4" w:space="0" w:color="auto"/>
              <w:right w:val="single" w:sz="4" w:space="0" w:color="auto"/>
            </w:tcBorders>
            <w:shd w:val="clear" w:color="auto" w:fill="auto"/>
            <w:noWrap/>
            <w:vAlign w:val="center"/>
            <w:hideMark/>
          </w:tcPr>
          <w:p w14:paraId="0F13AD6D"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74.320</w:t>
            </w:r>
          </w:p>
        </w:tc>
      </w:tr>
      <w:tr w:rsidR="00AC3704" w:rsidRPr="002F576D" w14:paraId="5AB19C83" w14:textId="77777777" w:rsidTr="00DE7C76">
        <w:trPr>
          <w:trHeight w:val="290"/>
        </w:trPr>
        <w:tc>
          <w:tcPr>
            <w:tcW w:w="494" w:type="pct"/>
            <w:tcBorders>
              <w:top w:val="nil"/>
              <w:left w:val="single" w:sz="4" w:space="0" w:color="auto"/>
              <w:bottom w:val="single" w:sz="4" w:space="0" w:color="auto"/>
              <w:right w:val="single" w:sz="4" w:space="0" w:color="auto"/>
            </w:tcBorders>
            <w:shd w:val="clear" w:color="auto" w:fill="auto"/>
            <w:noWrap/>
            <w:hideMark/>
          </w:tcPr>
          <w:p w14:paraId="36CFA589"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7</w:t>
            </w:r>
          </w:p>
        </w:tc>
        <w:tc>
          <w:tcPr>
            <w:tcW w:w="914" w:type="pct"/>
            <w:tcBorders>
              <w:top w:val="nil"/>
              <w:left w:val="nil"/>
              <w:bottom w:val="single" w:sz="4" w:space="0" w:color="auto"/>
              <w:right w:val="single" w:sz="4" w:space="0" w:color="auto"/>
            </w:tcBorders>
            <w:shd w:val="clear" w:color="auto" w:fill="auto"/>
            <w:noWrap/>
            <w:vAlign w:val="center"/>
            <w:hideMark/>
          </w:tcPr>
          <w:p w14:paraId="570E5A8D"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.997</w:t>
            </w:r>
          </w:p>
        </w:tc>
        <w:tc>
          <w:tcPr>
            <w:tcW w:w="390" w:type="pct"/>
            <w:tcBorders>
              <w:top w:val="nil"/>
              <w:left w:val="nil"/>
              <w:bottom w:val="single" w:sz="4" w:space="0" w:color="auto"/>
              <w:right w:val="single" w:sz="4" w:space="0" w:color="auto"/>
            </w:tcBorders>
            <w:shd w:val="clear" w:color="auto" w:fill="auto"/>
            <w:noWrap/>
            <w:vAlign w:val="center"/>
            <w:hideMark/>
          </w:tcPr>
          <w:p w14:paraId="5CB4BA19"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3.439</w:t>
            </w:r>
          </w:p>
        </w:tc>
        <w:tc>
          <w:tcPr>
            <w:tcW w:w="381" w:type="pct"/>
            <w:tcBorders>
              <w:top w:val="nil"/>
              <w:left w:val="nil"/>
              <w:bottom w:val="single" w:sz="4" w:space="0" w:color="auto"/>
              <w:right w:val="single" w:sz="4" w:space="0" w:color="auto"/>
            </w:tcBorders>
            <w:shd w:val="clear" w:color="auto" w:fill="auto"/>
            <w:noWrap/>
            <w:vAlign w:val="center"/>
            <w:hideMark/>
          </w:tcPr>
          <w:p w14:paraId="1C5439FC"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77.759</w:t>
            </w:r>
          </w:p>
        </w:tc>
        <w:tc>
          <w:tcPr>
            <w:tcW w:w="742" w:type="pct"/>
            <w:tcBorders>
              <w:top w:val="nil"/>
              <w:left w:val="nil"/>
              <w:bottom w:val="single" w:sz="4" w:space="0" w:color="auto"/>
              <w:right w:val="single" w:sz="4" w:space="0" w:color="auto"/>
            </w:tcBorders>
            <w:shd w:val="clear" w:color="auto" w:fill="auto"/>
            <w:vAlign w:val="center"/>
            <w:hideMark/>
          </w:tcPr>
          <w:p w14:paraId="66413769"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 </w:t>
            </w:r>
          </w:p>
        </w:tc>
        <w:tc>
          <w:tcPr>
            <w:tcW w:w="306" w:type="pct"/>
            <w:tcBorders>
              <w:top w:val="nil"/>
              <w:left w:val="nil"/>
              <w:bottom w:val="single" w:sz="4" w:space="0" w:color="auto"/>
              <w:right w:val="single" w:sz="4" w:space="0" w:color="auto"/>
            </w:tcBorders>
            <w:shd w:val="clear" w:color="auto" w:fill="auto"/>
            <w:vAlign w:val="center"/>
            <w:hideMark/>
          </w:tcPr>
          <w:p w14:paraId="6EF7A031"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2CC96AF8"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 </w:t>
            </w:r>
          </w:p>
        </w:tc>
        <w:tc>
          <w:tcPr>
            <w:tcW w:w="704" w:type="pct"/>
            <w:tcBorders>
              <w:top w:val="nil"/>
              <w:left w:val="nil"/>
              <w:bottom w:val="single" w:sz="4" w:space="0" w:color="auto"/>
              <w:right w:val="single" w:sz="4" w:space="0" w:color="auto"/>
            </w:tcBorders>
            <w:shd w:val="clear" w:color="auto" w:fill="auto"/>
            <w:vAlign w:val="center"/>
            <w:hideMark/>
          </w:tcPr>
          <w:p w14:paraId="4619669D"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 </w:t>
            </w:r>
          </w:p>
        </w:tc>
        <w:tc>
          <w:tcPr>
            <w:tcW w:w="306" w:type="pct"/>
            <w:tcBorders>
              <w:top w:val="nil"/>
              <w:left w:val="nil"/>
              <w:bottom w:val="single" w:sz="4" w:space="0" w:color="auto"/>
              <w:right w:val="single" w:sz="4" w:space="0" w:color="auto"/>
            </w:tcBorders>
            <w:shd w:val="clear" w:color="auto" w:fill="auto"/>
            <w:vAlign w:val="center"/>
            <w:hideMark/>
          </w:tcPr>
          <w:p w14:paraId="5782698E"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4118423B"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 </w:t>
            </w:r>
          </w:p>
        </w:tc>
      </w:tr>
    </w:tbl>
    <w:p w14:paraId="6ACE2794" w14:textId="77777777" w:rsidR="00AC3704" w:rsidRPr="00CF0DDC" w:rsidRDefault="00AC3704" w:rsidP="002F576D">
      <w:pPr>
        <w:spacing w:line="360" w:lineRule="auto"/>
        <w:jc w:val="center"/>
        <w:rPr>
          <w:lang w:val="es-ES"/>
        </w:rPr>
      </w:pPr>
      <w:r w:rsidRPr="00CF0DDC">
        <w:rPr>
          <w:lang w:val="es-ES"/>
        </w:rPr>
        <w:t>Fuente: Elaboración propia</w:t>
      </w:r>
    </w:p>
    <w:p w14:paraId="01D13861" w14:textId="77777777" w:rsidR="00AC3704" w:rsidRPr="00CF0DDC" w:rsidRDefault="00AC3704" w:rsidP="002F576D">
      <w:pPr>
        <w:spacing w:line="360" w:lineRule="auto"/>
        <w:ind w:firstLine="708"/>
        <w:jc w:val="both"/>
        <w:rPr>
          <w:lang w:val="es-ES"/>
        </w:rPr>
      </w:pPr>
      <w:r w:rsidRPr="00CF0DDC">
        <w:rPr>
          <w:lang w:val="es-ES"/>
        </w:rPr>
        <w:t xml:space="preserve">La matriz de componente rotado toma como parámetro un valor mayor a 0.40 para el peso de cada factor </w:t>
      </w:r>
      <w:r>
        <w:rPr>
          <w:lang w:val="es-ES"/>
        </w:rPr>
        <w:t>(</w:t>
      </w:r>
      <w:r w:rsidRPr="00CF0DDC">
        <w:rPr>
          <w:lang w:val="es-ES"/>
        </w:rPr>
        <w:t>Nunnally y Bernstein</w:t>
      </w:r>
      <w:r>
        <w:rPr>
          <w:lang w:val="es-ES"/>
        </w:rPr>
        <w:t>,</w:t>
      </w:r>
      <w:r w:rsidRPr="00CF0DDC">
        <w:rPr>
          <w:lang w:val="es-ES"/>
        </w:rPr>
        <w:t xml:space="preserve"> 1994). En la tabla 5, se evidencia que todos los pesos factoriales son superiores a 0.40, lo que permite la integración de los ítems a cada uno de los nuevos componentes.</w:t>
      </w:r>
    </w:p>
    <w:p w14:paraId="526C8C06" w14:textId="77777777" w:rsidR="00AC3704" w:rsidRDefault="00AC3704" w:rsidP="00AC3704">
      <w:pPr>
        <w:spacing w:before="160" w:line="360" w:lineRule="auto"/>
        <w:jc w:val="both"/>
        <w:rPr>
          <w:lang w:val="es-ES"/>
        </w:rPr>
      </w:pPr>
    </w:p>
    <w:p w14:paraId="6B7962B6" w14:textId="77777777" w:rsidR="004E1440" w:rsidRDefault="004E1440" w:rsidP="00AC3704">
      <w:pPr>
        <w:spacing w:before="160" w:line="360" w:lineRule="auto"/>
        <w:jc w:val="both"/>
        <w:rPr>
          <w:lang w:val="es-ES"/>
        </w:rPr>
      </w:pPr>
    </w:p>
    <w:p w14:paraId="10F47978" w14:textId="77777777" w:rsidR="004E1440" w:rsidRDefault="004E1440" w:rsidP="00AC3704">
      <w:pPr>
        <w:spacing w:before="160" w:line="360" w:lineRule="auto"/>
        <w:jc w:val="both"/>
        <w:rPr>
          <w:lang w:val="es-ES"/>
        </w:rPr>
      </w:pPr>
    </w:p>
    <w:p w14:paraId="1A0F1A57" w14:textId="77777777" w:rsidR="004E1440" w:rsidRDefault="004E1440" w:rsidP="00AC3704">
      <w:pPr>
        <w:spacing w:before="160" w:line="360" w:lineRule="auto"/>
        <w:jc w:val="both"/>
        <w:rPr>
          <w:lang w:val="es-ES"/>
        </w:rPr>
      </w:pPr>
    </w:p>
    <w:p w14:paraId="4884DECA" w14:textId="77777777" w:rsidR="004E1440" w:rsidRDefault="004E1440" w:rsidP="00AC3704">
      <w:pPr>
        <w:spacing w:before="160" w:line="360" w:lineRule="auto"/>
        <w:jc w:val="both"/>
        <w:rPr>
          <w:lang w:val="es-ES"/>
        </w:rPr>
      </w:pPr>
    </w:p>
    <w:p w14:paraId="0D07710F" w14:textId="77777777" w:rsidR="004E1440" w:rsidRDefault="004E1440" w:rsidP="00AC3704">
      <w:pPr>
        <w:spacing w:before="160" w:line="360" w:lineRule="auto"/>
        <w:jc w:val="both"/>
        <w:rPr>
          <w:lang w:val="es-ES"/>
        </w:rPr>
      </w:pPr>
    </w:p>
    <w:p w14:paraId="32783A1F" w14:textId="77777777" w:rsidR="004E1440" w:rsidRDefault="004E1440" w:rsidP="00AC3704">
      <w:pPr>
        <w:spacing w:before="160" w:line="360" w:lineRule="auto"/>
        <w:jc w:val="both"/>
        <w:rPr>
          <w:lang w:val="es-ES"/>
        </w:rPr>
      </w:pPr>
    </w:p>
    <w:p w14:paraId="2FCB8328" w14:textId="77777777" w:rsidR="004E1440" w:rsidRDefault="004E1440" w:rsidP="00AC3704">
      <w:pPr>
        <w:spacing w:before="160" w:line="360" w:lineRule="auto"/>
        <w:jc w:val="both"/>
        <w:rPr>
          <w:lang w:val="es-ES"/>
        </w:rPr>
      </w:pPr>
    </w:p>
    <w:p w14:paraId="3F313072" w14:textId="77777777" w:rsidR="004E1440" w:rsidRDefault="004E1440" w:rsidP="00AC3704">
      <w:pPr>
        <w:spacing w:before="160" w:line="360" w:lineRule="auto"/>
        <w:jc w:val="both"/>
        <w:rPr>
          <w:lang w:val="es-ES"/>
        </w:rPr>
      </w:pPr>
    </w:p>
    <w:p w14:paraId="2290A888" w14:textId="77777777" w:rsidR="004E1440" w:rsidRPr="00CF0DDC" w:rsidRDefault="004E1440" w:rsidP="00AC3704">
      <w:pPr>
        <w:spacing w:before="160" w:line="360" w:lineRule="auto"/>
        <w:jc w:val="both"/>
        <w:rPr>
          <w:lang w:val="es-ES"/>
        </w:rPr>
      </w:pPr>
    </w:p>
    <w:p w14:paraId="29449128" w14:textId="77777777" w:rsidR="00AC3704" w:rsidRPr="00CF0DDC" w:rsidRDefault="00AC3704" w:rsidP="00AC3704">
      <w:pPr>
        <w:spacing w:line="360" w:lineRule="auto"/>
        <w:jc w:val="center"/>
      </w:pPr>
      <w:r w:rsidRPr="00CF0DDC">
        <w:rPr>
          <w:b/>
        </w:rPr>
        <w:lastRenderedPageBreak/>
        <w:t>Tabla 5.</w:t>
      </w:r>
      <w:r w:rsidRPr="00CF0DDC">
        <w:t xml:space="preserve"> Matriz de componente rotado</w:t>
      </w:r>
    </w:p>
    <w:tbl>
      <w:tblPr>
        <w:tblW w:w="6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1030"/>
        <w:gridCol w:w="1030"/>
        <w:gridCol w:w="1030"/>
        <w:gridCol w:w="1030"/>
        <w:gridCol w:w="1030"/>
        <w:gridCol w:w="1030"/>
      </w:tblGrid>
      <w:tr w:rsidR="00AC3704" w:rsidRPr="002F576D" w14:paraId="72BEBEBA" w14:textId="77777777" w:rsidTr="00DE7C76">
        <w:trPr>
          <w:cantSplit/>
          <w:jc w:val="center"/>
        </w:trPr>
        <w:tc>
          <w:tcPr>
            <w:tcW w:w="737" w:type="dxa"/>
            <w:vMerge w:val="restart"/>
            <w:shd w:val="clear" w:color="auto" w:fill="FFFFFF"/>
            <w:vAlign w:val="bottom"/>
          </w:tcPr>
          <w:p w14:paraId="4681873E" w14:textId="77777777" w:rsidR="00AC3704" w:rsidRPr="002F576D" w:rsidRDefault="00AC3704" w:rsidP="00DE7C76">
            <w:pPr>
              <w:autoSpaceDE w:val="0"/>
              <w:autoSpaceDN w:val="0"/>
              <w:adjustRightInd w:val="0"/>
              <w:jc w:val="center"/>
            </w:pPr>
          </w:p>
        </w:tc>
        <w:tc>
          <w:tcPr>
            <w:tcW w:w="6180" w:type="dxa"/>
            <w:gridSpan w:val="6"/>
            <w:shd w:val="clear" w:color="auto" w:fill="FFFFFF"/>
            <w:vAlign w:val="bottom"/>
          </w:tcPr>
          <w:p w14:paraId="722E3BF3" w14:textId="77777777" w:rsidR="00AC3704" w:rsidRPr="002F576D" w:rsidRDefault="00AC3704" w:rsidP="00DE7C76">
            <w:pPr>
              <w:autoSpaceDE w:val="0"/>
              <w:autoSpaceDN w:val="0"/>
              <w:adjustRightInd w:val="0"/>
              <w:ind w:left="60" w:right="60"/>
              <w:jc w:val="center"/>
              <w:rPr>
                <w:color w:val="000000"/>
              </w:rPr>
            </w:pPr>
            <w:r w:rsidRPr="002F576D">
              <w:rPr>
                <w:color w:val="000000"/>
              </w:rPr>
              <w:t>Componente</w:t>
            </w:r>
          </w:p>
        </w:tc>
      </w:tr>
      <w:tr w:rsidR="00AC3704" w:rsidRPr="002F576D" w14:paraId="3B484729" w14:textId="77777777" w:rsidTr="00DE7C76">
        <w:trPr>
          <w:cantSplit/>
          <w:jc w:val="center"/>
        </w:trPr>
        <w:tc>
          <w:tcPr>
            <w:tcW w:w="737" w:type="dxa"/>
            <w:vMerge/>
            <w:shd w:val="clear" w:color="auto" w:fill="FFFFFF"/>
            <w:vAlign w:val="bottom"/>
          </w:tcPr>
          <w:p w14:paraId="1AA7E3AD" w14:textId="77777777" w:rsidR="00AC3704" w:rsidRPr="002F576D" w:rsidRDefault="00AC3704" w:rsidP="00DE7C76">
            <w:pPr>
              <w:autoSpaceDE w:val="0"/>
              <w:autoSpaceDN w:val="0"/>
              <w:adjustRightInd w:val="0"/>
              <w:jc w:val="center"/>
              <w:rPr>
                <w:color w:val="000000"/>
              </w:rPr>
            </w:pPr>
          </w:p>
        </w:tc>
        <w:tc>
          <w:tcPr>
            <w:tcW w:w="1030" w:type="dxa"/>
            <w:shd w:val="clear" w:color="auto" w:fill="FFFFFF"/>
            <w:vAlign w:val="bottom"/>
          </w:tcPr>
          <w:p w14:paraId="35D6324C" w14:textId="77777777" w:rsidR="00AC3704" w:rsidRPr="002F576D" w:rsidRDefault="00AC3704" w:rsidP="00DE7C76">
            <w:pPr>
              <w:autoSpaceDE w:val="0"/>
              <w:autoSpaceDN w:val="0"/>
              <w:adjustRightInd w:val="0"/>
              <w:ind w:left="60" w:right="60"/>
              <w:jc w:val="center"/>
              <w:rPr>
                <w:color w:val="000000"/>
              </w:rPr>
            </w:pPr>
            <w:r w:rsidRPr="002F576D">
              <w:rPr>
                <w:color w:val="000000"/>
              </w:rPr>
              <w:t>1</w:t>
            </w:r>
          </w:p>
        </w:tc>
        <w:tc>
          <w:tcPr>
            <w:tcW w:w="1030" w:type="dxa"/>
            <w:shd w:val="clear" w:color="auto" w:fill="FFFFFF"/>
            <w:vAlign w:val="bottom"/>
          </w:tcPr>
          <w:p w14:paraId="75546E44" w14:textId="77777777" w:rsidR="00AC3704" w:rsidRPr="002F576D" w:rsidRDefault="00AC3704" w:rsidP="00DE7C76">
            <w:pPr>
              <w:autoSpaceDE w:val="0"/>
              <w:autoSpaceDN w:val="0"/>
              <w:adjustRightInd w:val="0"/>
              <w:ind w:left="60" w:right="60"/>
              <w:jc w:val="center"/>
              <w:rPr>
                <w:color w:val="000000"/>
              </w:rPr>
            </w:pPr>
            <w:r w:rsidRPr="002F576D">
              <w:rPr>
                <w:color w:val="000000"/>
              </w:rPr>
              <w:t>2</w:t>
            </w:r>
          </w:p>
        </w:tc>
        <w:tc>
          <w:tcPr>
            <w:tcW w:w="1030" w:type="dxa"/>
            <w:shd w:val="clear" w:color="auto" w:fill="FFFFFF"/>
            <w:vAlign w:val="bottom"/>
          </w:tcPr>
          <w:p w14:paraId="43170CAE" w14:textId="77777777" w:rsidR="00AC3704" w:rsidRPr="002F576D" w:rsidRDefault="00AC3704" w:rsidP="00DE7C76">
            <w:pPr>
              <w:autoSpaceDE w:val="0"/>
              <w:autoSpaceDN w:val="0"/>
              <w:adjustRightInd w:val="0"/>
              <w:ind w:left="60" w:right="60"/>
              <w:jc w:val="center"/>
              <w:rPr>
                <w:color w:val="000000"/>
              </w:rPr>
            </w:pPr>
            <w:r w:rsidRPr="002F576D">
              <w:rPr>
                <w:color w:val="000000"/>
              </w:rPr>
              <w:t>3</w:t>
            </w:r>
          </w:p>
        </w:tc>
        <w:tc>
          <w:tcPr>
            <w:tcW w:w="1030" w:type="dxa"/>
            <w:shd w:val="clear" w:color="auto" w:fill="FFFFFF"/>
            <w:vAlign w:val="bottom"/>
          </w:tcPr>
          <w:p w14:paraId="664E514A" w14:textId="77777777" w:rsidR="00AC3704" w:rsidRPr="002F576D" w:rsidRDefault="00AC3704" w:rsidP="00DE7C76">
            <w:pPr>
              <w:autoSpaceDE w:val="0"/>
              <w:autoSpaceDN w:val="0"/>
              <w:adjustRightInd w:val="0"/>
              <w:ind w:left="60" w:right="60"/>
              <w:jc w:val="center"/>
              <w:rPr>
                <w:color w:val="000000"/>
              </w:rPr>
            </w:pPr>
            <w:r w:rsidRPr="002F576D">
              <w:rPr>
                <w:color w:val="000000"/>
              </w:rPr>
              <w:t>4</w:t>
            </w:r>
          </w:p>
        </w:tc>
        <w:tc>
          <w:tcPr>
            <w:tcW w:w="1030" w:type="dxa"/>
            <w:shd w:val="clear" w:color="auto" w:fill="FFFFFF"/>
            <w:vAlign w:val="bottom"/>
          </w:tcPr>
          <w:p w14:paraId="65917B2B" w14:textId="77777777" w:rsidR="00AC3704" w:rsidRPr="002F576D" w:rsidRDefault="00AC3704" w:rsidP="00DE7C76">
            <w:pPr>
              <w:autoSpaceDE w:val="0"/>
              <w:autoSpaceDN w:val="0"/>
              <w:adjustRightInd w:val="0"/>
              <w:ind w:left="60" w:right="60"/>
              <w:jc w:val="center"/>
              <w:rPr>
                <w:color w:val="000000"/>
              </w:rPr>
            </w:pPr>
            <w:r w:rsidRPr="002F576D">
              <w:rPr>
                <w:color w:val="000000"/>
              </w:rPr>
              <w:t>5</w:t>
            </w:r>
          </w:p>
        </w:tc>
        <w:tc>
          <w:tcPr>
            <w:tcW w:w="1030" w:type="dxa"/>
            <w:shd w:val="clear" w:color="auto" w:fill="FFFFFF"/>
            <w:vAlign w:val="bottom"/>
          </w:tcPr>
          <w:p w14:paraId="192F010E" w14:textId="77777777" w:rsidR="00AC3704" w:rsidRPr="002F576D" w:rsidRDefault="00AC3704" w:rsidP="00DE7C76">
            <w:pPr>
              <w:autoSpaceDE w:val="0"/>
              <w:autoSpaceDN w:val="0"/>
              <w:adjustRightInd w:val="0"/>
              <w:ind w:left="60" w:right="60"/>
              <w:jc w:val="center"/>
              <w:rPr>
                <w:color w:val="000000"/>
              </w:rPr>
            </w:pPr>
            <w:r w:rsidRPr="002F576D">
              <w:rPr>
                <w:color w:val="000000"/>
              </w:rPr>
              <w:t>6</w:t>
            </w:r>
          </w:p>
        </w:tc>
      </w:tr>
      <w:tr w:rsidR="00AC3704" w:rsidRPr="002F576D" w14:paraId="1A7D9A8A" w14:textId="77777777" w:rsidTr="00DE7C76">
        <w:trPr>
          <w:cantSplit/>
          <w:jc w:val="center"/>
        </w:trPr>
        <w:tc>
          <w:tcPr>
            <w:tcW w:w="737" w:type="dxa"/>
            <w:shd w:val="clear" w:color="auto" w:fill="FFFFFF"/>
            <w:vAlign w:val="center"/>
          </w:tcPr>
          <w:p w14:paraId="5EDEB7E6" w14:textId="77777777" w:rsidR="00AC3704" w:rsidRPr="002F576D" w:rsidRDefault="00AC3704" w:rsidP="00DE7C76">
            <w:pPr>
              <w:autoSpaceDE w:val="0"/>
              <w:autoSpaceDN w:val="0"/>
              <w:adjustRightInd w:val="0"/>
              <w:ind w:left="60" w:right="60"/>
              <w:jc w:val="center"/>
              <w:rPr>
                <w:color w:val="000000"/>
              </w:rPr>
            </w:pPr>
            <w:r w:rsidRPr="002F576D">
              <w:rPr>
                <w:color w:val="000000"/>
              </w:rPr>
              <w:t>I26</w:t>
            </w:r>
          </w:p>
        </w:tc>
        <w:tc>
          <w:tcPr>
            <w:tcW w:w="1030" w:type="dxa"/>
            <w:shd w:val="clear" w:color="auto" w:fill="FFFFFF"/>
            <w:vAlign w:val="center"/>
          </w:tcPr>
          <w:p w14:paraId="2141E1C0" w14:textId="77777777" w:rsidR="00AC3704" w:rsidRPr="002F576D" w:rsidRDefault="00AC3704" w:rsidP="00DE7C76">
            <w:pPr>
              <w:autoSpaceDE w:val="0"/>
              <w:autoSpaceDN w:val="0"/>
              <w:adjustRightInd w:val="0"/>
              <w:ind w:left="60" w:right="60"/>
              <w:jc w:val="center"/>
              <w:rPr>
                <w:color w:val="000000"/>
              </w:rPr>
            </w:pPr>
            <w:r w:rsidRPr="002F576D">
              <w:rPr>
                <w:color w:val="000000"/>
              </w:rPr>
              <w:t>.826</w:t>
            </w:r>
          </w:p>
        </w:tc>
        <w:tc>
          <w:tcPr>
            <w:tcW w:w="1030" w:type="dxa"/>
            <w:shd w:val="clear" w:color="auto" w:fill="FFFFFF"/>
            <w:vAlign w:val="center"/>
          </w:tcPr>
          <w:p w14:paraId="777E4B81" w14:textId="77777777" w:rsidR="00AC3704" w:rsidRPr="002F576D" w:rsidRDefault="00AC3704" w:rsidP="00DE7C76">
            <w:pPr>
              <w:autoSpaceDE w:val="0"/>
              <w:autoSpaceDN w:val="0"/>
              <w:adjustRightInd w:val="0"/>
              <w:ind w:left="60" w:right="60"/>
              <w:jc w:val="center"/>
              <w:rPr>
                <w:color w:val="000000"/>
              </w:rPr>
            </w:pPr>
            <w:r w:rsidRPr="002F576D">
              <w:rPr>
                <w:color w:val="000000"/>
              </w:rPr>
              <w:t>.238</w:t>
            </w:r>
          </w:p>
        </w:tc>
        <w:tc>
          <w:tcPr>
            <w:tcW w:w="1030" w:type="dxa"/>
            <w:shd w:val="clear" w:color="auto" w:fill="FFFFFF"/>
            <w:vAlign w:val="center"/>
          </w:tcPr>
          <w:p w14:paraId="43237C04" w14:textId="77777777" w:rsidR="00AC3704" w:rsidRPr="002F576D" w:rsidRDefault="00AC3704" w:rsidP="00DE7C76">
            <w:pPr>
              <w:autoSpaceDE w:val="0"/>
              <w:autoSpaceDN w:val="0"/>
              <w:adjustRightInd w:val="0"/>
              <w:ind w:left="60" w:right="60"/>
              <w:jc w:val="center"/>
              <w:rPr>
                <w:color w:val="000000"/>
              </w:rPr>
            </w:pPr>
            <w:r w:rsidRPr="002F576D">
              <w:rPr>
                <w:color w:val="000000"/>
              </w:rPr>
              <w:t>.124</w:t>
            </w:r>
          </w:p>
        </w:tc>
        <w:tc>
          <w:tcPr>
            <w:tcW w:w="1030" w:type="dxa"/>
            <w:shd w:val="clear" w:color="auto" w:fill="FFFFFF"/>
            <w:vAlign w:val="center"/>
          </w:tcPr>
          <w:p w14:paraId="43596B83" w14:textId="77777777" w:rsidR="00AC3704" w:rsidRPr="002F576D" w:rsidRDefault="00AC3704" w:rsidP="00DE7C76">
            <w:pPr>
              <w:autoSpaceDE w:val="0"/>
              <w:autoSpaceDN w:val="0"/>
              <w:adjustRightInd w:val="0"/>
              <w:ind w:left="60" w:right="60"/>
              <w:jc w:val="center"/>
              <w:rPr>
                <w:color w:val="000000"/>
              </w:rPr>
            </w:pPr>
            <w:r w:rsidRPr="002F576D">
              <w:rPr>
                <w:color w:val="000000"/>
              </w:rPr>
              <w:t>.045</w:t>
            </w:r>
          </w:p>
        </w:tc>
        <w:tc>
          <w:tcPr>
            <w:tcW w:w="1030" w:type="dxa"/>
            <w:shd w:val="clear" w:color="auto" w:fill="FFFFFF"/>
            <w:vAlign w:val="center"/>
          </w:tcPr>
          <w:p w14:paraId="587E540F" w14:textId="77777777" w:rsidR="00AC3704" w:rsidRPr="002F576D" w:rsidRDefault="00AC3704" w:rsidP="00DE7C76">
            <w:pPr>
              <w:autoSpaceDE w:val="0"/>
              <w:autoSpaceDN w:val="0"/>
              <w:adjustRightInd w:val="0"/>
              <w:ind w:left="60" w:right="60"/>
              <w:jc w:val="center"/>
              <w:rPr>
                <w:color w:val="000000"/>
              </w:rPr>
            </w:pPr>
            <w:r w:rsidRPr="002F576D">
              <w:rPr>
                <w:color w:val="000000"/>
              </w:rPr>
              <w:t>.095</w:t>
            </w:r>
          </w:p>
        </w:tc>
        <w:tc>
          <w:tcPr>
            <w:tcW w:w="1030" w:type="dxa"/>
            <w:shd w:val="clear" w:color="auto" w:fill="FFFFFF"/>
            <w:vAlign w:val="center"/>
          </w:tcPr>
          <w:p w14:paraId="016BAAA1" w14:textId="77777777" w:rsidR="00AC3704" w:rsidRPr="002F576D" w:rsidRDefault="00AC3704" w:rsidP="00DE7C76">
            <w:pPr>
              <w:autoSpaceDE w:val="0"/>
              <w:autoSpaceDN w:val="0"/>
              <w:adjustRightInd w:val="0"/>
              <w:ind w:left="60" w:right="60"/>
              <w:jc w:val="center"/>
              <w:rPr>
                <w:color w:val="000000"/>
              </w:rPr>
            </w:pPr>
            <w:r w:rsidRPr="002F576D">
              <w:rPr>
                <w:color w:val="000000"/>
              </w:rPr>
              <w:t>.082</w:t>
            </w:r>
          </w:p>
        </w:tc>
      </w:tr>
      <w:tr w:rsidR="00AC3704" w:rsidRPr="002F576D" w14:paraId="139AA4E5" w14:textId="77777777" w:rsidTr="00DE7C76">
        <w:trPr>
          <w:cantSplit/>
          <w:jc w:val="center"/>
        </w:trPr>
        <w:tc>
          <w:tcPr>
            <w:tcW w:w="737" w:type="dxa"/>
            <w:shd w:val="clear" w:color="auto" w:fill="FFFFFF"/>
            <w:vAlign w:val="center"/>
          </w:tcPr>
          <w:p w14:paraId="5F9E4E83" w14:textId="77777777" w:rsidR="00AC3704" w:rsidRPr="002F576D" w:rsidRDefault="00AC3704" w:rsidP="00DE7C76">
            <w:pPr>
              <w:autoSpaceDE w:val="0"/>
              <w:autoSpaceDN w:val="0"/>
              <w:adjustRightInd w:val="0"/>
              <w:ind w:left="60" w:right="60"/>
              <w:jc w:val="center"/>
              <w:rPr>
                <w:color w:val="000000"/>
              </w:rPr>
            </w:pPr>
            <w:r w:rsidRPr="002F576D">
              <w:rPr>
                <w:color w:val="000000"/>
              </w:rPr>
              <w:t>I27</w:t>
            </w:r>
          </w:p>
        </w:tc>
        <w:tc>
          <w:tcPr>
            <w:tcW w:w="1030" w:type="dxa"/>
            <w:shd w:val="clear" w:color="auto" w:fill="FFFFFF"/>
            <w:vAlign w:val="center"/>
          </w:tcPr>
          <w:p w14:paraId="5736EDA3" w14:textId="77777777" w:rsidR="00AC3704" w:rsidRPr="002F576D" w:rsidRDefault="00AC3704" w:rsidP="00DE7C76">
            <w:pPr>
              <w:autoSpaceDE w:val="0"/>
              <w:autoSpaceDN w:val="0"/>
              <w:adjustRightInd w:val="0"/>
              <w:ind w:left="60" w:right="60"/>
              <w:jc w:val="center"/>
              <w:rPr>
                <w:color w:val="000000"/>
              </w:rPr>
            </w:pPr>
            <w:r w:rsidRPr="002F576D">
              <w:rPr>
                <w:color w:val="000000"/>
              </w:rPr>
              <w:t>.776</w:t>
            </w:r>
          </w:p>
        </w:tc>
        <w:tc>
          <w:tcPr>
            <w:tcW w:w="1030" w:type="dxa"/>
            <w:shd w:val="clear" w:color="auto" w:fill="FFFFFF"/>
            <w:vAlign w:val="center"/>
          </w:tcPr>
          <w:p w14:paraId="714779E7" w14:textId="77777777" w:rsidR="00AC3704" w:rsidRPr="002F576D" w:rsidRDefault="00AC3704" w:rsidP="00DE7C76">
            <w:pPr>
              <w:autoSpaceDE w:val="0"/>
              <w:autoSpaceDN w:val="0"/>
              <w:adjustRightInd w:val="0"/>
              <w:ind w:left="60" w:right="60"/>
              <w:jc w:val="center"/>
              <w:rPr>
                <w:color w:val="000000"/>
              </w:rPr>
            </w:pPr>
            <w:r w:rsidRPr="002F576D">
              <w:rPr>
                <w:color w:val="000000"/>
              </w:rPr>
              <w:t>.059</w:t>
            </w:r>
          </w:p>
        </w:tc>
        <w:tc>
          <w:tcPr>
            <w:tcW w:w="1030" w:type="dxa"/>
            <w:shd w:val="clear" w:color="auto" w:fill="FFFFFF"/>
            <w:vAlign w:val="center"/>
          </w:tcPr>
          <w:p w14:paraId="5E1C7E24" w14:textId="77777777" w:rsidR="00AC3704" w:rsidRPr="002F576D" w:rsidRDefault="00AC3704" w:rsidP="00DE7C76">
            <w:pPr>
              <w:autoSpaceDE w:val="0"/>
              <w:autoSpaceDN w:val="0"/>
              <w:adjustRightInd w:val="0"/>
              <w:ind w:left="60" w:right="60"/>
              <w:jc w:val="center"/>
              <w:rPr>
                <w:color w:val="000000"/>
              </w:rPr>
            </w:pPr>
            <w:r w:rsidRPr="002F576D">
              <w:rPr>
                <w:color w:val="000000"/>
              </w:rPr>
              <w:t>.187</w:t>
            </w:r>
          </w:p>
        </w:tc>
        <w:tc>
          <w:tcPr>
            <w:tcW w:w="1030" w:type="dxa"/>
            <w:shd w:val="clear" w:color="auto" w:fill="FFFFFF"/>
            <w:vAlign w:val="center"/>
          </w:tcPr>
          <w:p w14:paraId="06200239" w14:textId="77777777" w:rsidR="00AC3704" w:rsidRPr="002F576D" w:rsidRDefault="00AC3704" w:rsidP="00DE7C76">
            <w:pPr>
              <w:autoSpaceDE w:val="0"/>
              <w:autoSpaceDN w:val="0"/>
              <w:adjustRightInd w:val="0"/>
              <w:ind w:left="60" w:right="60"/>
              <w:jc w:val="center"/>
              <w:rPr>
                <w:color w:val="000000"/>
              </w:rPr>
            </w:pPr>
            <w:r w:rsidRPr="002F576D">
              <w:rPr>
                <w:color w:val="000000"/>
              </w:rPr>
              <w:t>.302</w:t>
            </w:r>
          </w:p>
        </w:tc>
        <w:tc>
          <w:tcPr>
            <w:tcW w:w="1030" w:type="dxa"/>
            <w:shd w:val="clear" w:color="auto" w:fill="FFFFFF"/>
            <w:vAlign w:val="center"/>
          </w:tcPr>
          <w:p w14:paraId="150201B4" w14:textId="77777777" w:rsidR="00AC3704" w:rsidRPr="002F576D" w:rsidRDefault="00AC3704" w:rsidP="00DE7C76">
            <w:pPr>
              <w:autoSpaceDE w:val="0"/>
              <w:autoSpaceDN w:val="0"/>
              <w:adjustRightInd w:val="0"/>
              <w:ind w:left="60" w:right="60"/>
              <w:jc w:val="center"/>
              <w:rPr>
                <w:color w:val="000000"/>
              </w:rPr>
            </w:pPr>
            <w:r w:rsidRPr="002F576D">
              <w:rPr>
                <w:color w:val="000000"/>
              </w:rPr>
              <w:t>-.109</w:t>
            </w:r>
          </w:p>
        </w:tc>
        <w:tc>
          <w:tcPr>
            <w:tcW w:w="1030" w:type="dxa"/>
            <w:shd w:val="clear" w:color="auto" w:fill="FFFFFF"/>
            <w:vAlign w:val="center"/>
          </w:tcPr>
          <w:p w14:paraId="09080453" w14:textId="77777777" w:rsidR="00AC3704" w:rsidRPr="002F576D" w:rsidRDefault="00AC3704" w:rsidP="00DE7C76">
            <w:pPr>
              <w:autoSpaceDE w:val="0"/>
              <w:autoSpaceDN w:val="0"/>
              <w:adjustRightInd w:val="0"/>
              <w:ind w:left="60" w:right="60"/>
              <w:jc w:val="center"/>
              <w:rPr>
                <w:color w:val="000000"/>
              </w:rPr>
            </w:pPr>
            <w:r w:rsidRPr="002F576D">
              <w:rPr>
                <w:color w:val="000000"/>
              </w:rPr>
              <w:t>.109</w:t>
            </w:r>
          </w:p>
        </w:tc>
      </w:tr>
      <w:tr w:rsidR="00AC3704" w:rsidRPr="002F576D" w14:paraId="4067DAE5" w14:textId="77777777" w:rsidTr="00DE7C76">
        <w:trPr>
          <w:cantSplit/>
          <w:jc w:val="center"/>
        </w:trPr>
        <w:tc>
          <w:tcPr>
            <w:tcW w:w="737" w:type="dxa"/>
            <w:shd w:val="clear" w:color="auto" w:fill="FFFFFF"/>
            <w:vAlign w:val="center"/>
          </w:tcPr>
          <w:p w14:paraId="2EB49645" w14:textId="77777777" w:rsidR="00AC3704" w:rsidRPr="002F576D" w:rsidRDefault="00AC3704" w:rsidP="00DE7C76">
            <w:pPr>
              <w:autoSpaceDE w:val="0"/>
              <w:autoSpaceDN w:val="0"/>
              <w:adjustRightInd w:val="0"/>
              <w:ind w:left="60" w:right="60"/>
              <w:jc w:val="center"/>
              <w:rPr>
                <w:color w:val="000000"/>
              </w:rPr>
            </w:pPr>
            <w:r w:rsidRPr="002F576D">
              <w:rPr>
                <w:color w:val="000000"/>
              </w:rPr>
              <w:t>I25</w:t>
            </w:r>
          </w:p>
        </w:tc>
        <w:tc>
          <w:tcPr>
            <w:tcW w:w="1030" w:type="dxa"/>
            <w:shd w:val="clear" w:color="auto" w:fill="FFFFFF"/>
            <w:vAlign w:val="center"/>
          </w:tcPr>
          <w:p w14:paraId="60F5ADEE" w14:textId="77777777" w:rsidR="00AC3704" w:rsidRPr="002F576D" w:rsidRDefault="00AC3704" w:rsidP="00DE7C76">
            <w:pPr>
              <w:autoSpaceDE w:val="0"/>
              <w:autoSpaceDN w:val="0"/>
              <w:adjustRightInd w:val="0"/>
              <w:ind w:left="60" w:right="60"/>
              <w:jc w:val="center"/>
              <w:rPr>
                <w:color w:val="000000"/>
              </w:rPr>
            </w:pPr>
            <w:r w:rsidRPr="002F576D">
              <w:rPr>
                <w:color w:val="000000"/>
              </w:rPr>
              <w:t>.723</w:t>
            </w:r>
          </w:p>
        </w:tc>
        <w:tc>
          <w:tcPr>
            <w:tcW w:w="1030" w:type="dxa"/>
            <w:shd w:val="clear" w:color="auto" w:fill="FFFFFF"/>
            <w:vAlign w:val="center"/>
          </w:tcPr>
          <w:p w14:paraId="4C1E6DA2" w14:textId="77777777" w:rsidR="00AC3704" w:rsidRPr="002F576D" w:rsidRDefault="00AC3704" w:rsidP="00DE7C76">
            <w:pPr>
              <w:autoSpaceDE w:val="0"/>
              <w:autoSpaceDN w:val="0"/>
              <w:adjustRightInd w:val="0"/>
              <w:ind w:left="60" w:right="60"/>
              <w:jc w:val="center"/>
              <w:rPr>
                <w:color w:val="000000"/>
              </w:rPr>
            </w:pPr>
            <w:r w:rsidRPr="002F576D">
              <w:rPr>
                <w:color w:val="000000"/>
              </w:rPr>
              <w:t>.248</w:t>
            </w:r>
          </w:p>
        </w:tc>
        <w:tc>
          <w:tcPr>
            <w:tcW w:w="1030" w:type="dxa"/>
            <w:shd w:val="clear" w:color="auto" w:fill="FFFFFF"/>
            <w:vAlign w:val="center"/>
          </w:tcPr>
          <w:p w14:paraId="4660C874" w14:textId="77777777" w:rsidR="00AC3704" w:rsidRPr="002F576D" w:rsidRDefault="00AC3704" w:rsidP="00DE7C76">
            <w:pPr>
              <w:autoSpaceDE w:val="0"/>
              <w:autoSpaceDN w:val="0"/>
              <w:adjustRightInd w:val="0"/>
              <w:ind w:left="60" w:right="60"/>
              <w:jc w:val="center"/>
              <w:rPr>
                <w:color w:val="000000"/>
              </w:rPr>
            </w:pPr>
            <w:r w:rsidRPr="002F576D">
              <w:rPr>
                <w:color w:val="000000"/>
              </w:rPr>
              <w:t>.072</w:t>
            </w:r>
          </w:p>
        </w:tc>
        <w:tc>
          <w:tcPr>
            <w:tcW w:w="1030" w:type="dxa"/>
            <w:shd w:val="clear" w:color="auto" w:fill="FFFFFF"/>
            <w:vAlign w:val="center"/>
          </w:tcPr>
          <w:p w14:paraId="09F6D380" w14:textId="77777777" w:rsidR="00AC3704" w:rsidRPr="002F576D" w:rsidRDefault="00AC3704" w:rsidP="00DE7C76">
            <w:pPr>
              <w:autoSpaceDE w:val="0"/>
              <w:autoSpaceDN w:val="0"/>
              <w:adjustRightInd w:val="0"/>
              <w:ind w:left="60" w:right="60"/>
              <w:jc w:val="center"/>
              <w:rPr>
                <w:color w:val="000000"/>
              </w:rPr>
            </w:pPr>
            <w:r w:rsidRPr="002F576D">
              <w:rPr>
                <w:color w:val="000000"/>
              </w:rPr>
              <w:t>.131</w:t>
            </w:r>
          </w:p>
        </w:tc>
        <w:tc>
          <w:tcPr>
            <w:tcW w:w="1030" w:type="dxa"/>
            <w:shd w:val="clear" w:color="auto" w:fill="FFFFFF"/>
            <w:vAlign w:val="center"/>
          </w:tcPr>
          <w:p w14:paraId="5D1C824E" w14:textId="77777777" w:rsidR="00AC3704" w:rsidRPr="002F576D" w:rsidRDefault="00AC3704" w:rsidP="00DE7C76">
            <w:pPr>
              <w:autoSpaceDE w:val="0"/>
              <w:autoSpaceDN w:val="0"/>
              <w:adjustRightInd w:val="0"/>
              <w:ind w:left="60" w:right="60"/>
              <w:jc w:val="center"/>
              <w:rPr>
                <w:color w:val="000000"/>
              </w:rPr>
            </w:pPr>
            <w:r w:rsidRPr="002F576D">
              <w:rPr>
                <w:color w:val="000000"/>
              </w:rPr>
              <w:t>.383</w:t>
            </w:r>
          </w:p>
        </w:tc>
        <w:tc>
          <w:tcPr>
            <w:tcW w:w="1030" w:type="dxa"/>
            <w:shd w:val="clear" w:color="auto" w:fill="FFFFFF"/>
            <w:vAlign w:val="center"/>
          </w:tcPr>
          <w:p w14:paraId="29BFDC01" w14:textId="77777777" w:rsidR="00AC3704" w:rsidRPr="002F576D" w:rsidRDefault="00AC3704" w:rsidP="00DE7C76">
            <w:pPr>
              <w:autoSpaceDE w:val="0"/>
              <w:autoSpaceDN w:val="0"/>
              <w:adjustRightInd w:val="0"/>
              <w:ind w:left="60" w:right="60"/>
              <w:jc w:val="center"/>
              <w:rPr>
                <w:color w:val="000000"/>
              </w:rPr>
            </w:pPr>
            <w:r w:rsidRPr="002F576D">
              <w:rPr>
                <w:color w:val="000000"/>
              </w:rPr>
              <w:t>.092</w:t>
            </w:r>
          </w:p>
        </w:tc>
      </w:tr>
      <w:tr w:rsidR="00AC3704" w:rsidRPr="002F576D" w14:paraId="2457FC0D" w14:textId="77777777" w:rsidTr="00DE7C76">
        <w:trPr>
          <w:cantSplit/>
          <w:jc w:val="center"/>
        </w:trPr>
        <w:tc>
          <w:tcPr>
            <w:tcW w:w="737" w:type="dxa"/>
            <w:shd w:val="clear" w:color="auto" w:fill="FFFFFF"/>
            <w:vAlign w:val="center"/>
          </w:tcPr>
          <w:p w14:paraId="6B45566F" w14:textId="77777777" w:rsidR="00AC3704" w:rsidRPr="002F576D" w:rsidRDefault="00AC3704" w:rsidP="00DE7C76">
            <w:pPr>
              <w:autoSpaceDE w:val="0"/>
              <w:autoSpaceDN w:val="0"/>
              <w:adjustRightInd w:val="0"/>
              <w:ind w:left="60" w:right="60"/>
              <w:jc w:val="center"/>
              <w:rPr>
                <w:color w:val="000000"/>
              </w:rPr>
            </w:pPr>
            <w:r w:rsidRPr="002F576D">
              <w:rPr>
                <w:color w:val="000000"/>
              </w:rPr>
              <w:t>I28</w:t>
            </w:r>
          </w:p>
        </w:tc>
        <w:tc>
          <w:tcPr>
            <w:tcW w:w="1030" w:type="dxa"/>
            <w:shd w:val="clear" w:color="auto" w:fill="FFFFFF"/>
            <w:vAlign w:val="center"/>
          </w:tcPr>
          <w:p w14:paraId="5E11D8F5" w14:textId="77777777" w:rsidR="00AC3704" w:rsidRPr="002F576D" w:rsidRDefault="00AC3704" w:rsidP="00DE7C76">
            <w:pPr>
              <w:autoSpaceDE w:val="0"/>
              <w:autoSpaceDN w:val="0"/>
              <w:adjustRightInd w:val="0"/>
              <w:ind w:left="60" w:right="60"/>
              <w:jc w:val="center"/>
              <w:rPr>
                <w:color w:val="000000"/>
              </w:rPr>
            </w:pPr>
            <w:r w:rsidRPr="002F576D">
              <w:rPr>
                <w:color w:val="000000"/>
              </w:rPr>
              <w:t>.697</w:t>
            </w:r>
          </w:p>
        </w:tc>
        <w:tc>
          <w:tcPr>
            <w:tcW w:w="1030" w:type="dxa"/>
            <w:shd w:val="clear" w:color="auto" w:fill="FFFFFF"/>
            <w:vAlign w:val="center"/>
          </w:tcPr>
          <w:p w14:paraId="6DBD19ED" w14:textId="77777777" w:rsidR="00AC3704" w:rsidRPr="002F576D" w:rsidRDefault="00AC3704" w:rsidP="00DE7C76">
            <w:pPr>
              <w:autoSpaceDE w:val="0"/>
              <w:autoSpaceDN w:val="0"/>
              <w:adjustRightInd w:val="0"/>
              <w:ind w:left="60" w:right="60"/>
              <w:jc w:val="center"/>
              <w:rPr>
                <w:color w:val="000000"/>
              </w:rPr>
            </w:pPr>
            <w:r w:rsidRPr="002F576D">
              <w:rPr>
                <w:color w:val="000000"/>
              </w:rPr>
              <w:t>.345</w:t>
            </w:r>
          </w:p>
        </w:tc>
        <w:tc>
          <w:tcPr>
            <w:tcW w:w="1030" w:type="dxa"/>
            <w:shd w:val="clear" w:color="auto" w:fill="FFFFFF"/>
            <w:vAlign w:val="center"/>
          </w:tcPr>
          <w:p w14:paraId="0A987AA8" w14:textId="77777777" w:rsidR="00AC3704" w:rsidRPr="002F576D" w:rsidRDefault="00AC3704" w:rsidP="00DE7C76">
            <w:pPr>
              <w:autoSpaceDE w:val="0"/>
              <w:autoSpaceDN w:val="0"/>
              <w:adjustRightInd w:val="0"/>
              <w:ind w:left="60" w:right="60"/>
              <w:jc w:val="center"/>
              <w:rPr>
                <w:color w:val="000000"/>
              </w:rPr>
            </w:pPr>
            <w:r w:rsidRPr="002F576D">
              <w:rPr>
                <w:color w:val="000000"/>
              </w:rPr>
              <w:t>.340</w:t>
            </w:r>
          </w:p>
        </w:tc>
        <w:tc>
          <w:tcPr>
            <w:tcW w:w="1030" w:type="dxa"/>
            <w:shd w:val="clear" w:color="auto" w:fill="FFFFFF"/>
            <w:vAlign w:val="center"/>
          </w:tcPr>
          <w:p w14:paraId="16A645B1" w14:textId="77777777" w:rsidR="00AC3704" w:rsidRPr="002F576D" w:rsidRDefault="00AC3704" w:rsidP="00DE7C76">
            <w:pPr>
              <w:autoSpaceDE w:val="0"/>
              <w:autoSpaceDN w:val="0"/>
              <w:adjustRightInd w:val="0"/>
              <w:ind w:left="60" w:right="60"/>
              <w:jc w:val="center"/>
              <w:rPr>
                <w:color w:val="000000"/>
              </w:rPr>
            </w:pPr>
            <w:r w:rsidRPr="002F576D">
              <w:rPr>
                <w:color w:val="000000"/>
              </w:rPr>
              <w:t>-.021</w:t>
            </w:r>
          </w:p>
        </w:tc>
        <w:tc>
          <w:tcPr>
            <w:tcW w:w="1030" w:type="dxa"/>
            <w:shd w:val="clear" w:color="auto" w:fill="FFFFFF"/>
            <w:vAlign w:val="center"/>
          </w:tcPr>
          <w:p w14:paraId="03CC55CC" w14:textId="77777777" w:rsidR="00AC3704" w:rsidRPr="002F576D" w:rsidRDefault="00AC3704" w:rsidP="00DE7C76">
            <w:pPr>
              <w:autoSpaceDE w:val="0"/>
              <w:autoSpaceDN w:val="0"/>
              <w:adjustRightInd w:val="0"/>
              <w:ind w:left="60" w:right="60"/>
              <w:jc w:val="center"/>
              <w:rPr>
                <w:color w:val="000000"/>
              </w:rPr>
            </w:pPr>
            <w:r w:rsidRPr="002F576D">
              <w:rPr>
                <w:color w:val="000000"/>
              </w:rPr>
              <w:t>.056</w:t>
            </w:r>
          </w:p>
        </w:tc>
        <w:tc>
          <w:tcPr>
            <w:tcW w:w="1030" w:type="dxa"/>
            <w:shd w:val="clear" w:color="auto" w:fill="FFFFFF"/>
            <w:vAlign w:val="center"/>
          </w:tcPr>
          <w:p w14:paraId="510412F4" w14:textId="77777777" w:rsidR="00AC3704" w:rsidRPr="002F576D" w:rsidRDefault="00AC3704" w:rsidP="00DE7C76">
            <w:pPr>
              <w:autoSpaceDE w:val="0"/>
              <w:autoSpaceDN w:val="0"/>
              <w:adjustRightInd w:val="0"/>
              <w:ind w:left="60" w:right="60"/>
              <w:jc w:val="center"/>
              <w:rPr>
                <w:color w:val="000000"/>
              </w:rPr>
            </w:pPr>
            <w:r w:rsidRPr="002F576D">
              <w:rPr>
                <w:color w:val="000000"/>
              </w:rPr>
              <w:t>.065</w:t>
            </w:r>
          </w:p>
        </w:tc>
      </w:tr>
      <w:tr w:rsidR="00AC3704" w:rsidRPr="002F576D" w14:paraId="000CF75D" w14:textId="77777777" w:rsidTr="00DE7C76">
        <w:trPr>
          <w:cantSplit/>
          <w:jc w:val="center"/>
        </w:trPr>
        <w:tc>
          <w:tcPr>
            <w:tcW w:w="737" w:type="dxa"/>
            <w:shd w:val="clear" w:color="auto" w:fill="FFFFFF"/>
            <w:vAlign w:val="center"/>
          </w:tcPr>
          <w:p w14:paraId="5E6D374B" w14:textId="77777777" w:rsidR="00AC3704" w:rsidRPr="002F576D" w:rsidRDefault="00AC3704" w:rsidP="00DE7C76">
            <w:pPr>
              <w:autoSpaceDE w:val="0"/>
              <w:autoSpaceDN w:val="0"/>
              <w:adjustRightInd w:val="0"/>
              <w:ind w:left="60" w:right="60"/>
              <w:jc w:val="center"/>
              <w:rPr>
                <w:color w:val="000000"/>
              </w:rPr>
            </w:pPr>
            <w:r w:rsidRPr="002F576D">
              <w:rPr>
                <w:color w:val="000000"/>
              </w:rPr>
              <w:t>I24</w:t>
            </w:r>
          </w:p>
        </w:tc>
        <w:tc>
          <w:tcPr>
            <w:tcW w:w="1030" w:type="dxa"/>
            <w:shd w:val="clear" w:color="auto" w:fill="FFFFFF"/>
            <w:vAlign w:val="center"/>
          </w:tcPr>
          <w:p w14:paraId="1EEF1768" w14:textId="77777777" w:rsidR="00AC3704" w:rsidRPr="002F576D" w:rsidRDefault="00AC3704" w:rsidP="00DE7C76">
            <w:pPr>
              <w:autoSpaceDE w:val="0"/>
              <w:autoSpaceDN w:val="0"/>
              <w:adjustRightInd w:val="0"/>
              <w:ind w:left="60" w:right="60"/>
              <w:jc w:val="center"/>
              <w:rPr>
                <w:color w:val="000000"/>
              </w:rPr>
            </w:pPr>
            <w:r w:rsidRPr="002F576D">
              <w:rPr>
                <w:color w:val="000000"/>
              </w:rPr>
              <w:t>.666</w:t>
            </w:r>
          </w:p>
        </w:tc>
        <w:tc>
          <w:tcPr>
            <w:tcW w:w="1030" w:type="dxa"/>
            <w:shd w:val="clear" w:color="auto" w:fill="FFFFFF"/>
            <w:vAlign w:val="center"/>
          </w:tcPr>
          <w:p w14:paraId="5561BE7B" w14:textId="77777777" w:rsidR="00AC3704" w:rsidRPr="002F576D" w:rsidRDefault="00AC3704" w:rsidP="00DE7C76">
            <w:pPr>
              <w:autoSpaceDE w:val="0"/>
              <w:autoSpaceDN w:val="0"/>
              <w:adjustRightInd w:val="0"/>
              <w:ind w:left="60" w:right="60"/>
              <w:jc w:val="center"/>
              <w:rPr>
                <w:color w:val="000000"/>
              </w:rPr>
            </w:pPr>
            <w:r w:rsidRPr="002F576D">
              <w:rPr>
                <w:color w:val="000000"/>
              </w:rPr>
              <w:t>-.033</w:t>
            </w:r>
          </w:p>
        </w:tc>
        <w:tc>
          <w:tcPr>
            <w:tcW w:w="1030" w:type="dxa"/>
            <w:shd w:val="clear" w:color="auto" w:fill="FFFFFF"/>
            <w:vAlign w:val="center"/>
          </w:tcPr>
          <w:p w14:paraId="21D55C63" w14:textId="77777777" w:rsidR="00AC3704" w:rsidRPr="002F576D" w:rsidRDefault="00AC3704" w:rsidP="00DE7C76">
            <w:pPr>
              <w:autoSpaceDE w:val="0"/>
              <w:autoSpaceDN w:val="0"/>
              <w:adjustRightInd w:val="0"/>
              <w:ind w:left="60" w:right="60"/>
              <w:jc w:val="center"/>
              <w:rPr>
                <w:color w:val="000000"/>
              </w:rPr>
            </w:pPr>
            <w:r w:rsidRPr="002F576D">
              <w:rPr>
                <w:color w:val="000000"/>
              </w:rPr>
              <w:t>.140</w:t>
            </w:r>
          </w:p>
        </w:tc>
        <w:tc>
          <w:tcPr>
            <w:tcW w:w="1030" w:type="dxa"/>
            <w:shd w:val="clear" w:color="auto" w:fill="FFFFFF"/>
            <w:vAlign w:val="center"/>
          </w:tcPr>
          <w:p w14:paraId="1146046E" w14:textId="77777777" w:rsidR="00AC3704" w:rsidRPr="002F576D" w:rsidRDefault="00AC3704" w:rsidP="00DE7C76">
            <w:pPr>
              <w:autoSpaceDE w:val="0"/>
              <w:autoSpaceDN w:val="0"/>
              <w:adjustRightInd w:val="0"/>
              <w:ind w:left="60" w:right="60"/>
              <w:jc w:val="center"/>
              <w:rPr>
                <w:color w:val="000000"/>
              </w:rPr>
            </w:pPr>
            <w:r w:rsidRPr="002F576D">
              <w:rPr>
                <w:color w:val="000000"/>
              </w:rPr>
              <w:t>.358</w:t>
            </w:r>
          </w:p>
        </w:tc>
        <w:tc>
          <w:tcPr>
            <w:tcW w:w="1030" w:type="dxa"/>
            <w:shd w:val="clear" w:color="auto" w:fill="FFFFFF"/>
            <w:vAlign w:val="center"/>
          </w:tcPr>
          <w:p w14:paraId="4624A7DB" w14:textId="77777777" w:rsidR="00AC3704" w:rsidRPr="002F576D" w:rsidRDefault="00AC3704" w:rsidP="00DE7C76">
            <w:pPr>
              <w:autoSpaceDE w:val="0"/>
              <w:autoSpaceDN w:val="0"/>
              <w:adjustRightInd w:val="0"/>
              <w:ind w:left="60" w:right="60"/>
              <w:jc w:val="center"/>
              <w:rPr>
                <w:color w:val="000000"/>
              </w:rPr>
            </w:pPr>
            <w:r w:rsidRPr="002F576D">
              <w:rPr>
                <w:color w:val="000000"/>
              </w:rPr>
              <w:t>.435</w:t>
            </w:r>
          </w:p>
        </w:tc>
        <w:tc>
          <w:tcPr>
            <w:tcW w:w="1030" w:type="dxa"/>
            <w:shd w:val="clear" w:color="auto" w:fill="FFFFFF"/>
            <w:vAlign w:val="center"/>
          </w:tcPr>
          <w:p w14:paraId="074869BC" w14:textId="77777777" w:rsidR="00AC3704" w:rsidRPr="002F576D" w:rsidRDefault="00AC3704" w:rsidP="00DE7C76">
            <w:pPr>
              <w:autoSpaceDE w:val="0"/>
              <w:autoSpaceDN w:val="0"/>
              <w:adjustRightInd w:val="0"/>
              <w:ind w:left="60" w:right="60"/>
              <w:jc w:val="center"/>
              <w:rPr>
                <w:color w:val="000000"/>
              </w:rPr>
            </w:pPr>
            <w:r w:rsidRPr="002F576D">
              <w:rPr>
                <w:color w:val="000000"/>
              </w:rPr>
              <w:t>-.048</w:t>
            </w:r>
          </w:p>
        </w:tc>
      </w:tr>
      <w:tr w:rsidR="00AC3704" w:rsidRPr="002F576D" w14:paraId="18946333" w14:textId="77777777" w:rsidTr="00DE7C76">
        <w:trPr>
          <w:cantSplit/>
          <w:jc w:val="center"/>
        </w:trPr>
        <w:tc>
          <w:tcPr>
            <w:tcW w:w="737" w:type="dxa"/>
            <w:shd w:val="clear" w:color="auto" w:fill="FFFFFF"/>
            <w:vAlign w:val="center"/>
          </w:tcPr>
          <w:p w14:paraId="0C7A68C1" w14:textId="77777777" w:rsidR="00AC3704" w:rsidRPr="002F576D" w:rsidRDefault="00AC3704" w:rsidP="00DE7C76">
            <w:pPr>
              <w:autoSpaceDE w:val="0"/>
              <w:autoSpaceDN w:val="0"/>
              <w:adjustRightInd w:val="0"/>
              <w:ind w:left="60" w:right="60"/>
              <w:jc w:val="center"/>
              <w:rPr>
                <w:color w:val="000000"/>
              </w:rPr>
            </w:pPr>
            <w:r w:rsidRPr="002F576D">
              <w:rPr>
                <w:color w:val="000000"/>
              </w:rPr>
              <w:t>I7</w:t>
            </w:r>
          </w:p>
        </w:tc>
        <w:tc>
          <w:tcPr>
            <w:tcW w:w="1030" w:type="dxa"/>
            <w:shd w:val="clear" w:color="auto" w:fill="FFFFFF"/>
            <w:vAlign w:val="center"/>
          </w:tcPr>
          <w:p w14:paraId="4F116FE8" w14:textId="77777777" w:rsidR="00AC3704" w:rsidRPr="002F576D" w:rsidRDefault="00AC3704" w:rsidP="00DE7C76">
            <w:pPr>
              <w:autoSpaceDE w:val="0"/>
              <w:autoSpaceDN w:val="0"/>
              <w:adjustRightInd w:val="0"/>
              <w:ind w:left="60" w:right="60"/>
              <w:jc w:val="center"/>
              <w:rPr>
                <w:color w:val="000000"/>
              </w:rPr>
            </w:pPr>
            <w:r w:rsidRPr="002F576D">
              <w:rPr>
                <w:color w:val="000000"/>
              </w:rPr>
              <w:t>.029</w:t>
            </w:r>
          </w:p>
        </w:tc>
        <w:tc>
          <w:tcPr>
            <w:tcW w:w="1030" w:type="dxa"/>
            <w:shd w:val="clear" w:color="auto" w:fill="FFFFFF"/>
            <w:vAlign w:val="center"/>
          </w:tcPr>
          <w:p w14:paraId="6AFEFCD3" w14:textId="77777777" w:rsidR="00AC3704" w:rsidRPr="002F576D" w:rsidRDefault="00AC3704" w:rsidP="00DE7C76">
            <w:pPr>
              <w:autoSpaceDE w:val="0"/>
              <w:autoSpaceDN w:val="0"/>
              <w:adjustRightInd w:val="0"/>
              <w:ind w:left="60" w:right="60"/>
              <w:jc w:val="center"/>
              <w:rPr>
                <w:color w:val="000000"/>
              </w:rPr>
            </w:pPr>
            <w:r w:rsidRPr="002F576D">
              <w:rPr>
                <w:color w:val="000000"/>
              </w:rPr>
              <w:t>.850</w:t>
            </w:r>
          </w:p>
        </w:tc>
        <w:tc>
          <w:tcPr>
            <w:tcW w:w="1030" w:type="dxa"/>
            <w:shd w:val="clear" w:color="auto" w:fill="FFFFFF"/>
            <w:vAlign w:val="center"/>
          </w:tcPr>
          <w:p w14:paraId="533627B5" w14:textId="77777777" w:rsidR="00AC3704" w:rsidRPr="002F576D" w:rsidRDefault="00AC3704" w:rsidP="00DE7C76">
            <w:pPr>
              <w:autoSpaceDE w:val="0"/>
              <w:autoSpaceDN w:val="0"/>
              <w:adjustRightInd w:val="0"/>
              <w:ind w:left="60" w:right="60"/>
              <w:jc w:val="center"/>
              <w:rPr>
                <w:color w:val="000000"/>
              </w:rPr>
            </w:pPr>
            <w:r w:rsidRPr="002F576D">
              <w:rPr>
                <w:color w:val="000000"/>
              </w:rPr>
              <w:t>.314</w:t>
            </w:r>
          </w:p>
        </w:tc>
        <w:tc>
          <w:tcPr>
            <w:tcW w:w="1030" w:type="dxa"/>
            <w:shd w:val="clear" w:color="auto" w:fill="FFFFFF"/>
            <w:vAlign w:val="center"/>
          </w:tcPr>
          <w:p w14:paraId="5F9E2ABC" w14:textId="77777777" w:rsidR="00AC3704" w:rsidRPr="002F576D" w:rsidRDefault="00AC3704" w:rsidP="00DE7C76">
            <w:pPr>
              <w:autoSpaceDE w:val="0"/>
              <w:autoSpaceDN w:val="0"/>
              <w:adjustRightInd w:val="0"/>
              <w:ind w:left="60" w:right="60"/>
              <w:jc w:val="center"/>
              <w:rPr>
                <w:color w:val="000000"/>
              </w:rPr>
            </w:pPr>
            <w:r w:rsidRPr="002F576D">
              <w:rPr>
                <w:color w:val="000000"/>
              </w:rPr>
              <w:t>.139</w:t>
            </w:r>
          </w:p>
        </w:tc>
        <w:tc>
          <w:tcPr>
            <w:tcW w:w="1030" w:type="dxa"/>
            <w:shd w:val="clear" w:color="auto" w:fill="FFFFFF"/>
            <w:vAlign w:val="center"/>
          </w:tcPr>
          <w:p w14:paraId="51DA6249" w14:textId="77777777" w:rsidR="00AC3704" w:rsidRPr="002F576D" w:rsidRDefault="00AC3704" w:rsidP="00DE7C76">
            <w:pPr>
              <w:autoSpaceDE w:val="0"/>
              <w:autoSpaceDN w:val="0"/>
              <w:adjustRightInd w:val="0"/>
              <w:ind w:left="60" w:right="60"/>
              <w:jc w:val="center"/>
              <w:rPr>
                <w:color w:val="000000"/>
              </w:rPr>
            </w:pPr>
            <w:r w:rsidRPr="002F576D">
              <w:rPr>
                <w:color w:val="000000"/>
              </w:rPr>
              <w:t>-.039</w:t>
            </w:r>
          </w:p>
        </w:tc>
        <w:tc>
          <w:tcPr>
            <w:tcW w:w="1030" w:type="dxa"/>
            <w:shd w:val="clear" w:color="auto" w:fill="FFFFFF"/>
            <w:vAlign w:val="center"/>
          </w:tcPr>
          <w:p w14:paraId="41F96B41" w14:textId="77777777" w:rsidR="00AC3704" w:rsidRPr="002F576D" w:rsidRDefault="00AC3704" w:rsidP="00DE7C76">
            <w:pPr>
              <w:autoSpaceDE w:val="0"/>
              <w:autoSpaceDN w:val="0"/>
              <w:adjustRightInd w:val="0"/>
              <w:ind w:left="60" w:right="60"/>
              <w:jc w:val="center"/>
              <w:rPr>
                <w:color w:val="000000"/>
              </w:rPr>
            </w:pPr>
            <w:r w:rsidRPr="002F576D">
              <w:rPr>
                <w:color w:val="000000"/>
              </w:rPr>
              <w:t>-.056</w:t>
            </w:r>
          </w:p>
        </w:tc>
      </w:tr>
      <w:tr w:rsidR="00AC3704" w:rsidRPr="002F576D" w14:paraId="6C6C7155" w14:textId="77777777" w:rsidTr="00DE7C76">
        <w:trPr>
          <w:cantSplit/>
          <w:jc w:val="center"/>
        </w:trPr>
        <w:tc>
          <w:tcPr>
            <w:tcW w:w="737" w:type="dxa"/>
            <w:shd w:val="clear" w:color="auto" w:fill="FFFFFF"/>
            <w:vAlign w:val="center"/>
          </w:tcPr>
          <w:p w14:paraId="0FAE530D" w14:textId="77777777" w:rsidR="00AC3704" w:rsidRPr="002F576D" w:rsidRDefault="00AC3704" w:rsidP="00DE7C76">
            <w:pPr>
              <w:autoSpaceDE w:val="0"/>
              <w:autoSpaceDN w:val="0"/>
              <w:adjustRightInd w:val="0"/>
              <w:ind w:left="60" w:right="60"/>
              <w:jc w:val="center"/>
              <w:rPr>
                <w:color w:val="000000"/>
              </w:rPr>
            </w:pPr>
            <w:r w:rsidRPr="002F576D">
              <w:rPr>
                <w:color w:val="000000"/>
              </w:rPr>
              <w:t>I6</w:t>
            </w:r>
          </w:p>
        </w:tc>
        <w:tc>
          <w:tcPr>
            <w:tcW w:w="1030" w:type="dxa"/>
            <w:shd w:val="clear" w:color="auto" w:fill="FFFFFF"/>
            <w:vAlign w:val="center"/>
          </w:tcPr>
          <w:p w14:paraId="2DB4E40E" w14:textId="77777777" w:rsidR="00AC3704" w:rsidRPr="002F576D" w:rsidRDefault="00AC3704" w:rsidP="00DE7C76">
            <w:pPr>
              <w:autoSpaceDE w:val="0"/>
              <w:autoSpaceDN w:val="0"/>
              <w:adjustRightInd w:val="0"/>
              <w:ind w:left="60" w:right="60"/>
              <w:jc w:val="center"/>
              <w:rPr>
                <w:color w:val="000000"/>
              </w:rPr>
            </w:pPr>
            <w:r w:rsidRPr="002F576D">
              <w:rPr>
                <w:color w:val="000000"/>
              </w:rPr>
              <w:t>.318</w:t>
            </w:r>
          </w:p>
        </w:tc>
        <w:tc>
          <w:tcPr>
            <w:tcW w:w="1030" w:type="dxa"/>
            <w:shd w:val="clear" w:color="auto" w:fill="FFFFFF"/>
            <w:vAlign w:val="center"/>
          </w:tcPr>
          <w:p w14:paraId="0F9DA7C2" w14:textId="77777777" w:rsidR="00AC3704" w:rsidRPr="002F576D" w:rsidRDefault="00AC3704" w:rsidP="00DE7C76">
            <w:pPr>
              <w:autoSpaceDE w:val="0"/>
              <w:autoSpaceDN w:val="0"/>
              <w:adjustRightInd w:val="0"/>
              <w:ind w:left="60" w:right="60"/>
              <w:jc w:val="center"/>
              <w:rPr>
                <w:color w:val="000000"/>
              </w:rPr>
            </w:pPr>
            <w:r w:rsidRPr="002F576D">
              <w:rPr>
                <w:color w:val="000000"/>
              </w:rPr>
              <w:t>.824</w:t>
            </w:r>
          </w:p>
        </w:tc>
        <w:tc>
          <w:tcPr>
            <w:tcW w:w="1030" w:type="dxa"/>
            <w:shd w:val="clear" w:color="auto" w:fill="FFFFFF"/>
            <w:vAlign w:val="center"/>
          </w:tcPr>
          <w:p w14:paraId="2E397992" w14:textId="77777777" w:rsidR="00AC3704" w:rsidRPr="002F576D" w:rsidRDefault="00AC3704" w:rsidP="00DE7C76">
            <w:pPr>
              <w:autoSpaceDE w:val="0"/>
              <w:autoSpaceDN w:val="0"/>
              <w:adjustRightInd w:val="0"/>
              <w:ind w:left="60" w:right="60"/>
              <w:jc w:val="center"/>
              <w:rPr>
                <w:color w:val="000000"/>
              </w:rPr>
            </w:pPr>
            <w:r w:rsidRPr="002F576D">
              <w:rPr>
                <w:color w:val="000000"/>
              </w:rPr>
              <w:t>.061</w:t>
            </w:r>
          </w:p>
        </w:tc>
        <w:tc>
          <w:tcPr>
            <w:tcW w:w="1030" w:type="dxa"/>
            <w:shd w:val="clear" w:color="auto" w:fill="FFFFFF"/>
            <w:vAlign w:val="center"/>
          </w:tcPr>
          <w:p w14:paraId="6DF9A370" w14:textId="77777777" w:rsidR="00AC3704" w:rsidRPr="002F576D" w:rsidRDefault="00AC3704" w:rsidP="00DE7C76">
            <w:pPr>
              <w:autoSpaceDE w:val="0"/>
              <w:autoSpaceDN w:val="0"/>
              <w:adjustRightInd w:val="0"/>
              <w:ind w:left="60" w:right="60"/>
              <w:jc w:val="center"/>
              <w:rPr>
                <w:color w:val="000000"/>
              </w:rPr>
            </w:pPr>
            <w:r w:rsidRPr="002F576D">
              <w:rPr>
                <w:color w:val="000000"/>
              </w:rPr>
              <w:t>.204</w:t>
            </w:r>
          </w:p>
        </w:tc>
        <w:tc>
          <w:tcPr>
            <w:tcW w:w="1030" w:type="dxa"/>
            <w:shd w:val="clear" w:color="auto" w:fill="FFFFFF"/>
            <w:vAlign w:val="center"/>
          </w:tcPr>
          <w:p w14:paraId="1CFFF1E1" w14:textId="77777777" w:rsidR="00AC3704" w:rsidRPr="002F576D" w:rsidRDefault="00AC3704" w:rsidP="00DE7C76">
            <w:pPr>
              <w:autoSpaceDE w:val="0"/>
              <w:autoSpaceDN w:val="0"/>
              <w:adjustRightInd w:val="0"/>
              <w:ind w:left="60" w:right="60"/>
              <w:jc w:val="center"/>
              <w:rPr>
                <w:color w:val="000000"/>
              </w:rPr>
            </w:pPr>
            <w:r w:rsidRPr="002F576D">
              <w:rPr>
                <w:color w:val="000000"/>
              </w:rPr>
              <w:t>.037</w:t>
            </w:r>
          </w:p>
        </w:tc>
        <w:tc>
          <w:tcPr>
            <w:tcW w:w="1030" w:type="dxa"/>
            <w:shd w:val="clear" w:color="auto" w:fill="FFFFFF"/>
            <w:vAlign w:val="center"/>
          </w:tcPr>
          <w:p w14:paraId="21EF17B0" w14:textId="77777777" w:rsidR="00AC3704" w:rsidRPr="002F576D" w:rsidRDefault="00AC3704" w:rsidP="00DE7C76">
            <w:pPr>
              <w:autoSpaceDE w:val="0"/>
              <w:autoSpaceDN w:val="0"/>
              <w:adjustRightInd w:val="0"/>
              <w:ind w:left="60" w:right="60"/>
              <w:jc w:val="center"/>
              <w:rPr>
                <w:color w:val="000000"/>
              </w:rPr>
            </w:pPr>
            <w:r w:rsidRPr="002F576D">
              <w:rPr>
                <w:color w:val="000000"/>
              </w:rPr>
              <w:t>.118</w:t>
            </w:r>
          </w:p>
        </w:tc>
      </w:tr>
      <w:tr w:rsidR="00AC3704" w:rsidRPr="002F576D" w14:paraId="057B675D" w14:textId="77777777" w:rsidTr="00DE7C76">
        <w:trPr>
          <w:cantSplit/>
          <w:jc w:val="center"/>
        </w:trPr>
        <w:tc>
          <w:tcPr>
            <w:tcW w:w="737" w:type="dxa"/>
            <w:shd w:val="clear" w:color="auto" w:fill="FFFFFF"/>
            <w:vAlign w:val="center"/>
          </w:tcPr>
          <w:p w14:paraId="1744C524" w14:textId="77777777" w:rsidR="00AC3704" w:rsidRPr="002F576D" w:rsidRDefault="00AC3704" w:rsidP="00DE7C76">
            <w:pPr>
              <w:autoSpaceDE w:val="0"/>
              <w:autoSpaceDN w:val="0"/>
              <w:adjustRightInd w:val="0"/>
              <w:ind w:left="60" w:right="60"/>
              <w:jc w:val="center"/>
              <w:rPr>
                <w:color w:val="000000"/>
              </w:rPr>
            </w:pPr>
            <w:r w:rsidRPr="002F576D">
              <w:rPr>
                <w:color w:val="000000"/>
              </w:rPr>
              <w:t>I8</w:t>
            </w:r>
          </w:p>
        </w:tc>
        <w:tc>
          <w:tcPr>
            <w:tcW w:w="1030" w:type="dxa"/>
            <w:shd w:val="clear" w:color="auto" w:fill="FFFFFF"/>
            <w:vAlign w:val="center"/>
          </w:tcPr>
          <w:p w14:paraId="444BA1E9" w14:textId="77777777" w:rsidR="00AC3704" w:rsidRPr="002F576D" w:rsidRDefault="00AC3704" w:rsidP="00DE7C76">
            <w:pPr>
              <w:autoSpaceDE w:val="0"/>
              <w:autoSpaceDN w:val="0"/>
              <w:adjustRightInd w:val="0"/>
              <w:ind w:left="60" w:right="60"/>
              <w:jc w:val="center"/>
              <w:rPr>
                <w:color w:val="000000"/>
              </w:rPr>
            </w:pPr>
            <w:r w:rsidRPr="002F576D">
              <w:rPr>
                <w:color w:val="000000"/>
              </w:rPr>
              <w:t>.122</w:t>
            </w:r>
          </w:p>
        </w:tc>
        <w:tc>
          <w:tcPr>
            <w:tcW w:w="1030" w:type="dxa"/>
            <w:shd w:val="clear" w:color="auto" w:fill="FFFFFF"/>
            <w:vAlign w:val="center"/>
          </w:tcPr>
          <w:p w14:paraId="248F4B73" w14:textId="77777777" w:rsidR="00AC3704" w:rsidRPr="002F576D" w:rsidRDefault="00AC3704" w:rsidP="00DE7C76">
            <w:pPr>
              <w:autoSpaceDE w:val="0"/>
              <w:autoSpaceDN w:val="0"/>
              <w:adjustRightInd w:val="0"/>
              <w:ind w:left="60" w:right="60"/>
              <w:jc w:val="center"/>
              <w:rPr>
                <w:color w:val="000000"/>
              </w:rPr>
            </w:pPr>
            <w:r w:rsidRPr="002F576D">
              <w:rPr>
                <w:color w:val="000000"/>
              </w:rPr>
              <w:t>.803</w:t>
            </w:r>
          </w:p>
        </w:tc>
        <w:tc>
          <w:tcPr>
            <w:tcW w:w="1030" w:type="dxa"/>
            <w:shd w:val="clear" w:color="auto" w:fill="FFFFFF"/>
            <w:vAlign w:val="center"/>
          </w:tcPr>
          <w:p w14:paraId="284E5285" w14:textId="77777777" w:rsidR="00AC3704" w:rsidRPr="002F576D" w:rsidRDefault="00AC3704" w:rsidP="00DE7C76">
            <w:pPr>
              <w:autoSpaceDE w:val="0"/>
              <w:autoSpaceDN w:val="0"/>
              <w:adjustRightInd w:val="0"/>
              <w:ind w:left="60" w:right="60"/>
              <w:jc w:val="center"/>
              <w:rPr>
                <w:color w:val="000000"/>
              </w:rPr>
            </w:pPr>
            <w:r w:rsidRPr="002F576D">
              <w:rPr>
                <w:color w:val="000000"/>
              </w:rPr>
              <w:t>.255</w:t>
            </w:r>
          </w:p>
        </w:tc>
        <w:tc>
          <w:tcPr>
            <w:tcW w:w="1030" w:type="dxa"/>
            <w:shd w:val="clear" w:color="auto" w:fill="FFFFFF"/>
            <w:vAlign w:val="center"/>
          </w:tcPr>
          <w:p w14:paraId="5FC086B1" w14:textId="77777777" w:rsidR="00AC3704" w:rsidRPr="002F576D" w:rsidRDefault="00AC3704" w:rsidP="00DE7C76">
            <w:pPr>
              <w:autoSpaceDE w:val="0"/>
              <w:autoSpaceDN w:val="0"/>
              <w:adjustRightInd w:val="0"/>
              <w:ind w:left="60" w:right="60"/>
              <w:jc w:val="center"/>
              <w:rPr>
                <w:color w:val="000000"/>
              </w:rPr>
            </w:pPr>
            <w:r w:rsidRPr="002F576D">
              <w:rPr>
                <w:color w:val="000000"/>
              </w:rPr>
              <w:t>.296</w:t>
            </w:r>
          </w:p>
        </w:tc>
        <w:tc>
          <w:tcPr>
            <w:tcW w:w="1030" w:type="dxa"/>
            <w:shd w:val="clear" w:color="auto" w:fill="FFFFFF"/>
            <w:vAlign w:val="center"/>
          </w:tcPr>
          <w:p w14:paraId="77FC0DFD" w14:textId="77777777" w:rsidR="00AC3704" w:rsidRPr="002F576D" w:rsidRDefault="00AC3704" w:rsidP="00DE7C76">
            <w:pPr>
              <w:autoSpaceDE w:val="0"/>
              <w:autoSpaceDN w:val="0"/>
              <w:adjustRightInd w:val="0"/>
              <w:ind w:left="60" w:right="60"/>
              <w:jc w:val="center"/>
              <w:rPr>
                <w:color w:val="000000"/>
              </w:rPr>
            </w:pPr>
            <w:r w:rsidRPr="002F576D">
              <w:rPr>
                <w:color w:val="000000"/>
              </w:rPr>
              <w:t>.231</w:t>
            </w:r>
          </w:p>
        </w:tc>
        <w:tc>
          <w:tcPr>
            <w:tcW w:w="1030" w:type="dxa"/>
            <w:shd w:val="clear" w:color="auto" w:fill="FFFFFF"/>
            <w:vAlign w:val="center"/>
          </w:tcPr>
          <w:p w14:paraId="1BB18D03" w14:textId="77777777" w:rsidR="00AC3704" w:rsidRPr="002F576D" w:rsidRDefault="00AC3704" w:rsidP="00DE7C76">
            <w:pPr>
              <w:autoSpaceDE w:val="0"/>
              <w:autoSpaceDN w:val="0"/>
              <w:adjustRightInd w:val="0"/>
              <w:ind w:left="60" w:right="60"/>
              <w:jc w:val="center"/>
              <w:rPr>
                <w:color w:val="000000"/>
              </w:rPr>
            </w:pPr>
            <w:r w:rsidRPr="002F576D">
              <w:rPr>
                <w:color w:val="000000"/>
              </w:rPr>
              <w:t>.008</w:t>
            </w:r>
          </w:p>
        </w:tc>
      </w:tr>
      <w:tr w:rsidR="00AC3704" w:rsidRPr="002F576D" w14:paraId="276A9197" w14:textId="77777777" w:rsidTr="00DE7C76">
        <w:trPr>
          <w:cantSplit/>
          <w:jc w:val="center"/>
        </w:trPr>
        <w:tc>
          <w:tcPr>
            <w:tcW w:w="737" w:type="dxa"/>
            <w:shd w:val="clear" w:color="auto" w:fill="FFFFFF"/>
            <w:vAlign w:val="center"/>
          </w:tcPr>
          <w:p w14:paraId="6A3901E5" w14:textId="77777777" w:rsidR="00AC3704" w:rsidRPr="002F576D" w:rsidRDefault="00AC3704" w:rsidP="00DE7C76">
            <w:pPr>
              <w:autoSpaceDE w:val="0"/>
              <w:autoSpaceDN w:val="0"/>
              <w:adjustRightInd w:val="0"/>
              <w:ind w:left="60" w:right="60"/>
              <w:jc w:val="center"/>
              <w:rPr>
                <w:color w:val="000000"/>
              </w:rPr>
            </w:pPr>
            <w:r w:rsidRPr="002F576D">
              <w:rPr>
                <w:color w:val="000000"/>
              </w:rPr>
              <w:t>I29</w:t>
            </w:r>
          </w:p>
        </w:tc>
        <w:tc>
          <w:tcPr>
            <w:tcW w:w="1030" w:type="dxa"/>
            <w:shd w:val="clear" w:color="auto" w:fill="FFFFFF"/>
            <w:vAlign w:val="center"/>
          </w:tcPr>
          <w:p w14:paraId="280AA75A" w14:textId="77777777" w:rsidR="00AC3704" w:rsidRPr="002F576D" w:rsidRDefault="00AC3704" w:rsidP="00DE7C76">
            <w:pPr>
              <w:autoSpaceDE w:val="0"/>
              <w:autoSpaceDN w:val="0"/>
              <w:adjustRightInd w:val="0"/>
              <w:ind w:left="60" w:right="60"/>
              <w:jc w:val="center"/>
              <w:rPr>
                <w:color w:val="000000"/>
              </w:rPr>
            </w:pPr>
            <w:r w:rsidRPr="002F576D">
              <w:rPr>
                <w:color w:val="000000"/>
              </w:rPr>
              <w:t>.489</w:t>
            </w:r>
          </w:p>
        </w:tc>
        <w:tc>
          <w:tcPr>
            <w:tcW w:w="1030" w:type="dxa"/>
            <w:shd w:val="clear" w:color="auto" w:fill="FFFFFF"/>
            <w:vAlign w:val="center"/>
          </w:tcPr>
          <w:p w14:paraId="3BC2F685" w14:textId="77777777" w:rsidR="00AC3704" w:rsidRPr="002F576D" w:rsidRDefault="00AC3704" w:rsidP="00DE7C76">
            <w:pPr>
              <w:autoSpaceDE w:val="0"/>
              <w:autoSpaceDN w:val="0"/>
              <w:adjustRightInd w:val="0"/>
              <w:ind w:left="60" w:right="60"/>
              <w:jc w:val="center"/>
              <w:rPr>
                <w:color w:val="000000"/>
              </w:rPr>
            </w:pPr>
            <w:r w:rsidRPr="002F576D">
              <w:rPr>
                <w:color w:val="000000"/>
              </w:rPr>
              <w:t>.551</w:t>
            </w:r>
          </w:p>
        </w:tc>
        <w:tc>
          <w:tcPr>
            <w:tcW w:w="1030" w:type="dxa"/>
            <w:shd w:val="clear" w:color="auto" w:fill="FFFFFF"/>
            <w:vAlign w:val="center"/>
          </w:tcPr>
          <w:p w14:paraId="41782974" w14:textId="77777777" w:rsidR="00AC3704" w:rsidRPr="002F576D" w:rsidRDefault="00AC3704" w:rsidP="00DE7C76">
            <w:pPr>
              <w:autoSpaceDE w:val="0"/>
              <w:autoSpaceDN w:val="0"/>
              <w:adjustRightInd w:val="0"/>
              <w:ind w:left="60" w:right="60"/>
              <w:jc w:val="center"/>
              <w:rPr>
                <w:color w:val="000000"/>
              </w:rPr>
            </w:pPr>
            <w:r w:rsidRPr="002F576D">
              <w:rPr>
                <w:color w:val="000000"/>
              </w:rPr>
              <w:t>.107</w:t>
            </w:r>
          </w:p>
        </w:tc>
        <w:tc>
          <w:tcPr>
            <w:tcW w:w="1030" w:type="dxa"/>
            <w:shd w:val="clear" w:color="auto" w:fill="FFFFFF"/>
            <w:vAlign w:val="center"/>
          </w:tcPr>
          <w:p w14:paraId="39DB1883" w14:textId="77777777" w:rsidR="00AC3704" w:rsidRPr="002F576D" w:rsidRDefault="00AC3704" w:rsidP="00DE7C76">
            <w:pPr>
              <w:autoSpaceDE w:val="0"/>
              <w:autoSpaceDN w:val="0"/>
              <w:adjustRightInd w:val="0"/>
              <w:ind w:left="60" w:right="60"/>
              <w:jc w:val="center"/>
              <w:rPr>
                <w:color w:val="000000"/>
              </w:rPr>
            </w:pPr>
            <w:r w:rsidRPr="002F576D">
              <w:rPr>
                <w:color w:val="000000"/>
              </w:rPr>
              <w:t>-.052</w:t>
            </w:r>
          </w:p>
        </w:tc>
        <w:tc>
          <w:tcPr>
            <w:tcW w:w="1030" w:type="dxa"/>
            <w:shd w:val="clear" w:color="auto" w:fill="FFFFFF"/>
            <w:vAlign w:val="center"/>
          </w:tcPr>
          <w:p w14:paraId="25483D79" w14:textId="77777777" w:rsidR="00AC3704" w:rsidRPr="002F576D" w:rsidRDefault="00AC3704" w:rsidP="00DE7C76">
            <w:pPr>
              <w:autoSpaceDE w:val="0"/>
              <w:autoSpaceDN w:val="0"/>
              <w:adjustRightInd w:val="0"/>
              <w:ind w:left="60" w:right="60"/>
              <w:jc w:val="center"/>
              <w:rPr>
                <w:color w:val="000000"/>
              </w:rPr>
            </w:pPr>
            <w:r w:rsidRPr="002F576D">
              <w:rPr>
                <w:color w:val="000000"/>
              </w:rPr>
              <w:t>.097</w:t>
            </w:r>
          </w:p>
        </w:tc>
        <w:tc>
          <w:tcPr>
            <w:tcW w:w="1030" w:type="dxa"/>
            <w:shd w:val="clear" w:color="auto" w:fill="FFFFFF"/>
            <w:vAlign w:val="center"/>
          </w:tcPr>
          <w:p w14:paraId="5F6B034D" w14:textId="77777777" w:rsidR="00AC3704" w:rsidRPr="002F576D" w:rsidRDefault="00AC3704" w:rsidP="00DE7C76">
            <w:pPr>
              <w:autoSpaceDE w:val="0"/>
              <w:autoSpaceDN w:val="0"/>
              <w:adjustRightInd w:val="0"/>
              <w:ind w:left="60" w:right="60"/>
              <w:jc w:val="center"/>
              <w:rPr>
                <w:color w:val="000000"/>
              </w:rPr>
            </w:pPr>
            <w:r w:rsidRPr="002F576D">
              <w:rPr>
                <w:color w:val="000000"/>
              </w:rPr>
              <w:t>.177</w:t>
            </w:r>
          </w:p>
        </w:tc>
      </w:tr>
      <w:tr w:rsidR="00AC3704" w:rsidRPr="002F576D" w14:paraId="604263C6" w14:textId="77777777" w:rsidTr="00DE7C76">
        <w:trPr>
          <w:cantSplit/>
          <w:jc w:val="center"/>
        </w:trPr>
        <w:tc>
          <w:tcPr>
            <w:tcW w:w="737" w:type="dxa"/>
            <w:shd w:val="clear" w:color="auto" w:fill="FFFFFF"/>
            <w:vAlign w:val="center"/>
          </w:tcPr>
          <w:p w14:paraId="3E6027EB" w14:textId="77777777" w:rsidR="00AC3704" w:rsidRPr="002F576D" w:rsidRDefault="00AC3704" w:rsidP="00DE7C76">
            <w:pPr>
              <w:autoSpaceDE w:val="0"/>
              <w:autoSpaceDN w:val="0"/>
              <w:adjustRightInd w:val="0"/>
              <w:ind w:left="60" w:right="60"/>
              <w:jc w:val="center"/>
              <w:rPr>
                <w:color w:val="000000"/>
              </w:rPr>
            </w:pPr>
            <w:r w:rsidRPr="002F576D">
              <w:rPr>
                <w:color w:val="000000"/>
              </w:rPr>
              <w:t>I16</w:t>
            </w:r>
          </w:p>
        </w:tc>
        <w:tc>
          <w:tcPr>
            <w:tcW w:w="1030" w:type="dxa"/>
            <w:shd w:val="clear" w:color="auto" w:fill="FFFFFF"/>
            <w:vAlign w:val="center"/>
          </w:tcPr>
          <w:p w14:paraId="09E848F4" w14:textId="77777777" w:rsidR="00AC3704" w:rsidRPr="002F576D" w:rsidRDefault="00AC3704" w:rsidP="00DE7C76">
            <w:pPr>
              <w:autoSpaceDE w:val="0"/>
              <w:autoSpaceDN w:val="0"/>
              <w:adjustRightInd w:val="0"/>
              <w:ind w:left="60" w:right="60"/>
              <w:jc w:val="center"/>
              <w:rPr>
                <w:color w:val="000000"/>
              </w:rPr>
            </w:pPr>
            <w:r w:rsidRPr="002F576D">
              <w:rPr>
                <w:color w:val="000000"/>
              </w:rPr>
              <w:t>.086</w:t>
            </w:r>
          </w:p>
        </w:tc>
        <w:tc>
          <w:tcPr>
            <w:tcW w:w="1030" w:type="dxa"/>
            <w:shd w:val="clear" w:color="auto" w:fill="FFFFFF"/>
            <w:vAlign w:val="center"/>
          </w:tcPr>
          <w:p w14:paraId="2F435F4E" w14:textId="77777777" w:rsidR="00AC3704" w:rsidRPr="002F576D" w:rsidRDefault="00AC3704" w:rsidP="00DE7C76">
            <w:pPr>
              <w:autoSpaceDE w:val="0"/>
              <w:autoSpaceDN w:val="0"/>
              <w:adjustRightInd w:val="0"/>
              <w:ind w:left="60" w:right="60"/>
              <w:jc w:val="center"/>
              <w:rPr>
                <w:color w:val="000000"/>
              </w:rPr>
            </w:pPr>
            <w:r w:rsidRPr="002F576D">
              <w:rPr>
                <w:color w:val="000000"/>
              </w:rPr>
              <w:t>.339</w:t>
            </w:r>
          </w:p>
        </w:tc>
        <w:tc>
          <w:tcPr>
            <w:tcW w:w="1030" w:type="dxa"/>
            <w:shd w:val="clear" w:color="auto" w:fill="FFFFFF"/>
            <w:vAlign w:val="center"/>
          </w:tcPr>
          <w:p w14:paraId="46AC02AF" w14:textId="77777777" w:rsidR="00AC3704" w:rsidRPr="002F576D" w:rsidRDefault="00AC3704" w:rsidP="00DE7C76">
            <w:pPr>
              <w:autoSpaceDE w:val="0"/>
              <w:autoSpaceDN w:val="0"/>
              <w:adjustRightInd w:val="0"/>
              <w:ind w:left="60" w:right="60"/>
              <w:jc w:val="center"/>
              <w:rPr>
                <w:color w:val="000000"/>
              </w:rPr>
            </w:pPr>
            <w:r w:rsidRPr="002F576D">
              <w:rPr>
                <w:color w:val="000000"/>
              </w:rPr>
              <w:t>.721</w:t>
            </w:r>
          </w:p>
        </w:tc>
        <w:tc>
          <w:tcPr>
            <w:tcW w:w="1030" w:type="dxa"/>
            <w:shd w:val="clear" w:color="auto" w:fill="FFFFFF"/>
            <w:vAlign w:val="center"/>
          </w:tcPr>
          <w:p w14:paraId="4FEFDB20" w14:textId="77777777" w:rsidR="00AC3704" w:rsidRPr="002F576D" w:rsidRDefault="00AC3704" w:rsidP="00DE7C76">
            <w:pPr>
              <w:autoSpaceDE w:val="0"/>
              <w:autoSpaceDN w:val="0"/>
              <w:adjustRightInd w:val="0"/>
              <w:ind w:left="60" w:right="60"/>
              <w:jc w:val="center"/>
              <w:rPr>
                <w:color w:val="000000"/>
              </w:rPr>
            </w:pPr>
            <w:r w:rsidRPr="002F576D">
              <w:rPr>
                <w:color w:val="000000"/>
              </w:rPr>
              <w:t>.047</w:t>
            </w:r>
          </w:p>
        </w:tc>
        <w:tc>
          <w:tcPr>
            <w:tcW w:w="1030" w:type="dxa"/>
            <w:shd w:val="clear" w:color="auto" w:fill="FFFFFF"/>
            <w:vAlign w:val="center"/>
          </w:tcPr>
          <w:p w14:paraId="3FB63583" w14:textId="77777777" w:rsidR="00AC3704" w:rsidRPr="002F576D" w:rsidRDefault="00AC3704" w:rsidP="00DE7C76">
            <w:pPr>
              <w:autoSpaceDE w:val="0"/>
              <w:autoSpaceDN w:val="0"/>
              <w:adjustRightInd w:val="0"/>
              <w:ind w:left="60" w:right="60"/>
              <w:jc w:val="center"/>
              <w:rPr>
                <w:color w:val="000000"/>
              </w:rPr>
            </w:pPr>
            <w:r w:rsidRPr="002F576D">
              <w:rPr>
                <w:color w:val="000000"/>
              </w:rPr>
              <w:t>.194</w:t>
            </w:r>
          </w:p>
        </w:tc>
        <w:tc>
          <w:tcPr>
            <w:tcW w:w="1030" w:type="dxa"/>
            <w:shd w:val="clear" w:color="auto" w:fill="FFFFFF"/>
            <w:vAlign w:val="center"/>
          </w:tcPr>
          <w:p w14:paraId="4C2FC917" w14:textId="77777777" w:rsidR="00AC3704" w:rsidRPr="002F576D" w:rsidRDefault="00AC3704" w:rsidP="00DE7C76">
            <w:pPr>
              <w:autoSpaceDE w:val="0"/>
              <w:autoSpaceDN w:val="0"/>
              <w:adjustRightInd w:val="0"/>
              <w:ind w:left="60" w:right="60"/>
              <w:jc w:val="center"/>
              <w:rPr>
                <w:color w:val="000000"/>
              </w:rPr>
            </w:pPr>
            <w:r w:rsidRPr="002F576D">
              <w:rPr>
                <w:color w:val="000000"/>
              </w:rPr>
              <w:t>.173</w:t>
            </w:r>
          </w:p>
        </w:tc>
      </w:tr>
      <w:tr w:rsidR="00AC3704" w:rsidRPr="002F576D" w14:paraId="1708E5A4" w14:textId="77777777" w:rsidTr="00DE7C76">
        <w:trPr>
          <w:cantSplit/>
          <w:jc w:val="center"/>
        </w:trPr>
        <w:tc>
          <w:tcPr>
            <w:tcW w:w="737" w:type="dxa"/>
            <w:shd w:val="clear" w:color="auto" w:fill="FFFFFF"/>
            <w:vAlign w:val="center"/>
          </w:tcPr>
          <w:p w14:paraId="6DFA9CC3" w14:textId="77777777" w:rsidR="00AC3704" w:rsidRPr="002F576D" w:rsidRDefault="00AC3704" w:rsidP="00DE7C76">
            <w:pPr>
              <w:autoSpaceDE w:val="0"/>
              <w:autoSpaceDN w:val="0"/>
              <w:adjustRightInd w:val="0"/>
              <w:ind w:left="60" w:right="60"/>
              <w:jc w:val="center"/>
              <w:rPr>
                <w:color w:val="000000"/>
              </w:rPr>
            </w:pPr>
            <w:r w:rsidRPr="002F576D">
              <w:rPr>
                <w:color w:val="000000"/>
              </w:rPr>
              <w:t>I17</w:t>
            </w:r>
          </w:p>
        </w:tc>
        <w:tc>
          <w:tcPr>
            <w:tcW w:w="1030" w:type="dxa"/>
            <w:shd w:val="clear" w:color="auto" w:fill="FFFFFF"/>
            <w:vAlign w:val="center"/>
          </w:tcPr>
          <w:p w14:paraId="425CCC04" w14:textId="77777777" w:rsidR="00AC3704" w:rsidRPr="002F576D" w:rsidRDefault="00AC3704" w:rsidP="00DE7C76">
            <w:pPr>
              <w:autoSpaceDE w:val="0"/>
              <w:autoSpaceDN w:val="0"/>
              <w:adjustRightInd w:val="0"/>
              <w:ind w:left="60" w:right="60"/>
              <w:jc w:val="center"/>
              <w:rPr>
                <w:color w:val="000000"/>
              </w:rPr>
            </w:pPr>
            <w:r w:rsidRPr="002F576D">
              <w:rPr>
                <w:color w:val="000000"/>
              </w:rPr>
              <w:t>.152</w:t>
            </w:r>
          </w:p>
        </w:tc>
        <w:tc>
          <w:tcPr>
            <w:tcW w:w="1030" w:type="dxa"/>
            <w:shd w:val="clear" w:color="auto" w:fill="FFFFFF"/>
            <w:vAlign w:val="center"/>
          </w:tcPr>
          <w:p w14:paraId="7D0B93EF" w14:textId="77777777" w:rsidR="00AC3704" w:rsidRPr="002F576D" w:rsidRDefault="00AC3704" w:rsidP="00DE7C76">
            <w:pPr>
              <w:autoSpaceDE w:val="0"/>
              <w:autoSpaceDN w:val="0"/>
              <w:adjustRightInd w:val="0"/>
              <w:ind w:left="60" w:right="60"/>
              <w:jc w:val="center"/>
              <w:rPr>
                <w:color w:val="000000"/>
              </w:rPr>
            </w:pPr>
            <w:r w:rsidRPr="002F576D">
              <w:rPr>
                <w:color w:val="000000"/>
              </w:rPr>
              <w:t>.328</w:t>
            </w:r>
          </w:p>
        </w:tc>
        <w:tc>
          <w:tcPr>
            <w:tcW w:w="1030" w:type="dxa"/>
            <w:shd w:val="clear" w:color="auto" w:fill="FFFFFF"/>
            <w:vAlign w:val="center"/>
          </w:tcPr>
          <w:p w14:paraId="403739E6" w14:textId="77777777" w:rsidR="00AC3704" w:rsidRPr="002F576D" w:rsidRDefault="00AC3704" w:rsidP="00DE7C76">
            <w:pPr>
              <w:autoSpaceDE w:val="0"/>
              <w:autoSpaceDN w:val="0"/>
              <w:adjustRightInd w:val="0"/>
              <w:ind w:left="60" w:right="60"/>
              <w:jc w:val="center"/>
              <w:rPr>
                <w:color w:val="000000"/>
              </w:rPr>
            </w:pPr>
            <w:r w:rsidRPr="002F576D">
              <w:rPr>
                <w:color w:val="000000"/>
              </w:rPr>
              <w:t>.714</w:t>
            </w:r>
          </w:p>
        </w:tc>
        <w:tc>
          <w:tcPr>
            <w:tcW w:w="1030" w:type="dxa"/>
            <w:shd w:val="clear" w:color="auto" w:fill="FFFFFF"/>
            <w:vAlign w:val="center"/>
          </w:tcPr>
          <w:p w14:paraId="21B512FC" w14:textId="77777777" w:rsidR="00AC3704" w:rsidRPr="002F576D" w:rsidRDefault="00AC3704" w:rsidP="00DE7C76">
            <w:pPr>
              <w:autoSpaceDE w:val="0"/>
              <w:autoSpaceDN w:val="0"/>
              <w:adjustRightInd w:val="0"/>
              <w:ind w:left="60" w:right="60"/>
              <w:jc w:val="center"/>
              <w:rPr>
                <w:color w:val="000000"/>
              </w:rPr>
            </w:pPr>
            <w:r w:rsidRPr="002F576D">
              <w:rPr>
                <w:color w:val="000000"/>
              </w:rPr>
              <w:t>.164</w:t>
            </w:r>
          </w:p>
        </w:tc>
        <w:tc>
          <w:tcPr>
            <w:tcW w:w="1030" w:type="dxa"/>
            <w:shd w:val="clear" w:color="auto" w:fill="FFFFFF"/>
            <w:vAlign w:val="center"/>
          </w:tcPr>
          <w:p w14:paraId="3AA60CA3" w14:textId="77777777" w:rsidR="00AC3704" w:rsidRPr="002F576D" w:rsidRDefault="00AC3704" w:rsidP="00DE7C76">
            <w:pPr>
              <w:autoSpaceDE w:val="0"/>
              <w:autoSpaceDN w:val="0"/>
              <w:adjustRightInd w:val="0"/>
              <w:ind w:left="60" w:right="60"/>
              <w:jc w:val="center"/>
              <w:rPr>
                <w:color w:val="000000"/>
              </w:rPr>
            </w:pPr>
            <w:r w:rsidRPr="002F576D">
              <w:rPr>
                <w:color w:val="000000"/>
              </w:rPr>
              <w:t>.239</w:t>
            </w:r>
          </w:p>
        </w:tc>
        <w:tc>
          <w:tcPr>
            <w:tcW w:w="1030" w:type="dxa"/>
            <w:shd w:val="clear" w:color="auto" w:fill="FFFFFF"/>
            <w:vAlign w:val="center"/>
          </w:tcPr>
          <w:p w14:paraId="0F3FA0CF" w14:textId="77777777" w:rsidR="00AC3704" w:rsidRPr="002F576D" w:rsidRDefault="00AC3704" w:rsidP="00DE7C76">
            <w:pPr>
              <w:autoSpaceDE w:val="0"/>
              <w:autoSpaceDN w:val="0"/>
              <w:adjustRightInd w:val="0"/>
              <w:ind w:left="60" w:right="60"/>
              <w:jc w:val="center"/>
              <w:rPr>
                <w:color w:val="000000"/>
              </w:rPr>
            </w:pPr>
            <w:r w:rsidRPr="002F576D">
              <w:rPr>
                <w:color w:val="000000"/>
              </w:rPr>
              <w:t>.228</w:t>
            </w:r>
          </w:p>
        </w:tc>
      </w:tr>
      <w:tr w:rsidR="00AC3704" w:rsidRPr="002F576D" w14:paraId="1F594C40" w14:textId="77777777" w:rsidTr="00DE7C76">
        <w:trPr>
          <w:cantSplit/>
          <w:jc w:val="center"/>
        </w:trPr>
        <w:tc>
          <w:tcPr>
            <w:tcW w:w="737" w:type="dxa"/>
            <w:shd w:val="clear" w:color="auto" w:fill="FFFFFF"/>
            <w:vAlign w:val="center"/>
          </w:tcPr>
          <w:p w14:paraId="4B5E8025" w14:textId="77777777" w:rsidR="00AC3704" w:rsidRPr="002F576D" w:rsidRDefault="00AC3704" w:rsidP="00DE7C76">
            <w:pPr>
              <w:autoSpaceDE w:val="0"/>
              <w:autoSpaceDN w:val="0"/>
              <w:adjustRightInd w:val="0"/>
              <w:ind w:left="60" w:right="60"/>
              <w:jc w:val="center"/>
              <w:rPr>
                <w:color w:val="000000"/>
              </w:rPr>
            </w:pPr>
            <w:r w:rsidRPr="002F576D">
              <w:rPr>
                <w:color w:val="000000"/>
              </w:rPr>
              <w:t>I19</w:t>
            </w:r>
          </w:p>
        </w:tc>
        <w:tc>
          <w:tcPr>
            <w:tcW w:w="1030" w:type="dxa"/>
            <w:shd w:val="clear" w:color="auto" w:fill="FFFFFF"/>
            <w:vAlign w:val="center"/>
          </w:tcPr>
          <w:p w14:paraId="0366F4CB" w14:textId="77777777" w:rsidR="00AC3704" w:rsidRPr="002F576D" w:rsidRDefault="00AC3704" w:rsidP="00DE7C76">
            <w:pPr>
              <w:autoSpaceDE w:val="0"/>
              <w:autoSpaceDN w:val="0"/>
              <w:adjustRightInd w:val="0"/>
              <w:ind w:left="60" w:right="60"/>
              <w:jc w:val="center"/>
              <w:rPr>
                <w:color w:val="000000"/>
              </w:rPr>
            </w:pPr>
            <w:r w:rsidRPr="002F576D">
              <w:rPr>
                <w:color w:val="000000"/>
              </w:rPr>
              <w:t>.234</w:t>
            </w:r>
          </w:p>
        </w:tc>
        <w:tc>
          <w:tcPr>
            <w:tcW w:w="1030" w:type="dxa"/>
            <w:shd w:val="clear" w:color="auto" w:fill="FFFFFF"/>
            <w:vAlign w:val="center"/>
          </w:tcPr>
          <w:p w14:paraId="1FC9D20F" w14:textId="77777777" w:rsidR="00AC3704" w:rsidRPr="002F576D" w:rsidRDefault="00AC3704" w:rsidP="00DE7C76">
            <w:pPr>
              <w:autoSpaceDE w:val="0"/>
              <w:autoSpaceDN w:val="0"/>
              <w:adjustRightInd w:val="0"/>
              <w:ind w:left="60" w:right="60"/>
              <w:jc w:val="center"/>
              <w:rPr>
                <w:color w:val="000000"/>
              </w:rPr>
            </w:pPr>
            <w:r w:rsidRPr="002F576D">
              <w:rPr>
                <w:color w:val="000000"/>
              </w:rPr>
              <w:t>.160</w:t>
            </w:r>
          </w:p>
        </w:tc>
        <w:tc>
          <w:tcPr>
            <w:tcW w:w="1030" w:type="dxa"/>
            <w:shd w:val="clear" w:color="auto" w:fill="FFFFFF"/>
            <w:vAlign w:val="center"/>
          </w:tcPr>
          <w:p w14:paraId="1C8C59C6" w14:textId="77777777" w:rsidR="00AC3704" w:rsidRPr="002F576D" w:rsidRDefault="00AC3704" w:rsidP="00DE7C76">
            <w:pPr>
              <w:autoSpaceDE w:val="0"/>
              <w:autoSpaceDN w:val="0"/>
              <w:adjustRightInd w:val="0"/>
              <w:ind w:left="60" w:right="60"/>
              <w:jc w:val="center"/>
              <w:rPr>
                <w:color w:val="000000"/>
              </w:rPr>
            </w:pPr>
            <w:r w:rsidRPr="002F576D">
              <w:rPr>
                <w:color w:val="000000"/>
              </w:rPr>
              <w:t>.597</w:t>
            </w:r>
          </w:p>
        </w:tc>
        <w:tc>
          <w:tcPr>
            <w:tcW w:w="1030" w:type="dxa"/>
            <w:shd w:val="clear" w:color="auto" w:fill="FFFFFF"/>
            <w:vAlign w:val="center"/>
          </w:tcPr>
          <w:p w14:paraId="4F5CCFFA" w14:textId="77777777" w:rsidR="00AC3704" w:rsidRPr="002F576D" w:rsidRDefault="00AC3704" w:rsidP="00DE7C76">
            <w:pPr>
              <w:autoSpaceDE w:val="0"/>
              <w:autoSpaceDN w:val="0"/>
              <w:adjustRightInd w:val="0"/>
              <w:ind w:left="60" w:right="60"/>
              <w:jc w:val="center"/>
              <w:rPr>
                <w:color w:val="000000"/>
              </w:rPr>
            </w:pPr>
            <w:r w:rsidRPr="002F576D">
              <w:rPr>
                <w:color w:val="000000"/>
              </w:rPr>
              <w:t>-.189</w:t>
            </w:r>
          </w:p>
        </w:tc>
        <w:tc>
          <w:tcPr>
            <w:tcW w:w="1030" w:type="dxa"/>
            <w:shd w:val="clear" w:color="auto" w:fill="FFFFFF"/>
            <w:vAlign w:val="center"/>
          </w:tcPr>
          <w:p w14:paraId="36A39BDD" w14:textId="77777777" w:rsidR="00AC3704" w:rsidRPr="002F576D" w:rsidRDefault="00AC3704" w:rsidP="00DE7C76">
            <w:pPr>
              <w:autoSpaceDE w:val="0"/>
              <w:autoSpaceDN w:val="0"/>
              <w:adjustRightInd w:val="0"/>
              <w:ind w:left="60" w:right="60"/>
              <w:jc w:val="center"/>
              <w:rPr>
                <w:color w:val="000000"/>
              </w:rPr>
            </w:pPr>
            <w:r w:rsidRPr="002F576D">
              <w:rPr>
                <w:color w:val="000000"/>
              </w:rPr>
              <w:t>.540</w:t>
            </w:r>
          </w:p>
        </w:tc>
        <w:tc>
          <w:tcPr>
            <w:tcW w:w="1030" w:type="dxa"/>
            <w:shd w:val="clear" w:color="auto" w:fill="FFFFFF"/>
            <w:vAlign w:val="center"/>
          </w:tcPr>
          <w:p w14:paraId="3D9F324B" w14:textId="77777777" w:rsidR="00AC3704" w:rsidRPr="002F576D" w:rsidRDefault="00AC3704" w:rsidP="00DE7C76">
            <w:pPr>
              <w:autoSpaceDE w:val="0"/>
              <w:autoSpaceDN w:val="0"/>
              <w:adjustRightInd w:val="0"/>
              <w:ind w:left="60" w:right="60"/>
              <w:jc w:val="center"/>
              <w:rPr>
                <w:color w:val="000000"/>
              </w:rPr>
            </w:pPr>
            <w:r w:rsidRPr="002F576D">
              <w:rPr>
                <w:color w:val="000000"/>
              </w:rPr>
              <w:t>.152</w:t>
            </w:r>
          </w:p>
        </w:tc>
      </w:tr>
      <w:tr w:rsidR="00AC3704" w:rsidRPr="002F576D" w14:paraId="6CCF0322" w14:textId="77777777" w:rsidTr="00DE7C76">
        <w:trPr>
          <w:cantSplit/>
          <w:jc w:val="center"/>
        </w:trPr>
        <w:tc>
          <w:tcPr>
            <w:tcW w:w="737" w:type="dxa"/>
            <w:shd w:val="clear" w:color="auto" w:fill="FFFFFF"/>
            <w:vAlign w:val="center"/>
          </w:tcPr>
          <w:p w14:paraId="3FCF0765" w14:textId="77777777" w:rsidR="00AC3704" w:rsidRPr="002F576D" w:rsidRDefault="00AC3704" w:rsidP="00DE7C76">
            <w:pPr>
              <w:autoSpaceDE w:val="0"/>
              <w:autoSpaceDN w:val="0"/>
              <w:adjustRightInd w:val="0"/>
              <w:ind w:left="60" w:right="60"/>
              <w:jc w:val="center"/>
              <w:rPr>
                <w:color w:val="000000"/>
              </w:rPr>
            </w:pPr>
            <w:r w:rsidRPr="002F576D">
              <w:rPr>
                <w:color w:val="000000"/>
              </w:rPr>
              <w:t>I10</w:t>
            </w:r>
          </w:p>
        </w:tc>
        <w:tc>
          <w:tcPr>
            <w:tcW w:w="1030" w:type="dxa"/>
            <w:shd w:val="clear" w:color="auto" w:fill="FFFFFF"/>
            <w:vAlign w:val="center"/>
          </w:tcPr>
          <w:p w14:paraId="045B86DC" w14:textId="77777777" w:rsidR="00AC3704" w:rsidRPr="002F576D" w:rsidRDefault="00AC3704" w:rsidP="00DE7C76">
            <w:pPr>
              <w:autoSpaceDE w:val="0"/>
              <w:autoSpaceDN w:val="0"/>
              <w:adjustRightInd w:val="0"/>
              <w:ind w:left="60" w:right="60"/>
              <w:jc w:val="center"/>
              <w:rPr>
                <w:color w:val="000000"/>
              </w:rPr>
            </w:pPr>
            <w:r w:rsidRPr="002F576D">
              <w:rPr>
                <w:color w:val="000000"/>
              </w:rPr>
              <w:t>.486</w:t>
            </w:r>
          </w:p>
        </w:tc>
        <w:tc>
          <w:tcPr>
            <w:tcW w:w="1030" w:type="dxa"/>
            <w:shd w:val="clear" w:color="auto" w:fill="FFFFFF"/>
            <w:vAlign w:val="center"/>
          </w:tcPr>
          <w:p w14:paraId="46515F3E" w14:textId="77777777" w:rsidR="00AC3704" w:rsidRPr="002F576D" w:rsidRDefault="00AC3704" w:rsidP="00DE7C76">
            <w:pPr>
              <w:autoSpaceDE w:val="0"/>
              <w:autoSpaceDN w:val="0"/>
              <w:adjustRightInd w:val="0"/>
              <w:ind w:left="60" w:right="60"/>
              <w:jc w:val="center"/>
              <w:rPr>
                <w:color w:val="000000"/>
              </w:rPr>
            </w:pPr>
            <w:r w:rsidRPr="002F576D">
              <w:rPr>
                <w:color w:val="000000"/>
              </w:rPr>
              <w:t>.256</w:t>
            </w:r>
          </w:p>
        </w:tc>
        <w:tc>
          <w:tcPr>
            <w:tcW w:w="1030" w:type="dxa"/>
            <w:shd w:val="clear" w:color="auto" w:fill="FFFFFF"/>
            <w:vAlign w:val="center"/>
          </w:tcPr>
          <w:p w14:paraId="3ABFA5A4" w14:textId="77777777" w:rsidR="00AC3704" w:rsidRPr="002F576D" w:rsidRDefault="00AC3704" w:rsidP="00DE7C76">
            <w:pPr>
              <w:autoSpaceDE w:val="0"/>
              <w:autoSpaceDN w:val="0"/>
              <w:adjustRightInd w:val="0"/>
              <w:ind w:left="60" w:right="60"/>
              <w:jc w:val="center"/>
              <w:rPr>
                <w:color w:val="000000"/>
              </w:rPr>
            </w:pPr>
            <w:r w:rsidRPr="002F576D">
              <w:rPr>
                <w:color w:val="000000"/>
              </w:rPr>
              <w:t>.576</w:t>
            </w:r>
          </w:p>
        </w:tc>
        <w:tc>
          <w:tcPr>
            <w:tcW w:w="1030" w:type="dxa"/>
            <w:shd w:val="clear" w:color="auto" w:fill="FFFFFF"/>
            <w:vAlign w:val="center"/>
          </w:tcPr>
          <w:p w14:paraId="65424F6E" w14:textId="77777777" w:rsidR="00AC3704" w:rsidRPr="002F576D" w:rsidRDefault="00AC3704" w:rsidP="00DE7C76">
            <w:pPr>
              <w:autoSpaceDE w:val="0"/>
              <w:autoSpaceDN w:val="0"/>
              <w:adjustRightInd w:val="0"/>
              <w:ind w:left="60" w:right="60"/>
              <w:jc w:val="center"/>
              <w:rPr>
                <w:color w:val="000000"/>
              </w:rPr>
            </w:pPr>
            <w:r w:rsidRPr="002F576D">
              <w:rPr>
                <w:color w:val="000000"/>
              </w:rPr>
              <w:t>.245</w:t>
            </w:r>
          </w:p>
        </w:tc>
        <w:tc>
          <w:tcPr>
            <w:tcW w:w="1030" w:type="dxa"/>
            <w:shd w:val="clear" w:color="auto" w:fill="FFFFFF"/>
            <w:vAlign w:val="center"/>
          </w:tcPr>
          <w:p w14:paraId="3BEE1A69" w14:textId="77777777" w:rsidR="00AC3704" w:rsidRPr="002F576D" w:rsidRDefault="00AC3704" w:rsidP="00DE7C76">
            <w:pPr>
              <w:autoSpaceDE w:val="0"/>
              <w:autoSpaceDN w:val="0"/>
              <w:adjustRightInd w:val="0"/>
              <w:ind w:left="60" w:right="60"/>
              <w:jc w:val="center"/>
              <w:rPr>
                <w:color w:val="000000"/>
              </w:rPr>
            </w:pPr>
            <w:r w:rsidRPr="002F576D">
              <w:rPr>
                <w:color w:val="000000"/>
              </w:rPr>
              <w:t>.105</w:t>
            </w:r>
          </w:p>
        </w:tc>
        <w:tc>
          <w:tcPr>
            <w:tcW w:w="1030" w:type="dxa"/>
            <w:shd w:val="clear" w:color="auto" w:fill="FFFFFF"/>
            <w:vAlign w:val="center"/>
          </w:tcPr>
          <w:p w14:paraId="3877F3C1" w14:textId="77777777" w:rsidR="00AC3704" w:rsidRPr="002F576D" w:rsidRDefault="00AC3704" w:rsidP="00DE7C76">
            <w:pPr>
              <w:autoSpaceDE w:val="0"/>
              <w:autoSpaceDN w:val="0"/>
              <w:adjustRightInd w:val="0"/>
              <w:ind w:left="60" w:right="60"/>
              <w:jc w:val="center"/>
              <w:rPr>
                <w:color w:val="000000"/>
              </w:rPr>
            </w:pPr>
            <w:r w:rsidRPr="002F576D">
              <w:rPr>
                <w:color w:val="000000"/>
              </w:rPr>
              <w:t>.213</w:t>
            </w:r>
          </w:p>
        </w:tc>
      </w:tr>
      <w:tr w:rsidR="00AC3704" w:rsidRPr="002F576D" w14:paraId="1F8EF285" w14:textId="77777777" w:rsidTr="00DE7C76">
        <w:trPr>
          <w:cantSplit/>
          <w:jc w:val="center"/>
        </w:trPr>
        <w:tc>
          <w:tcPr>
            <w:tcW w:w="737" w:type="dxa"/>
            <w:shd w:val="clear" w:color="auto" w:fill="FFFFFF"/>
            <w:vAlign w:val="center"/>
          </w:tcPr>
          <w:p w14:paraId="5CB82F41" w14:textId="77777777" w:rsidR="00AC3704" w:rsidRPr="002F576D" w:rsidRDefault="00AC3704" w:rsidP="00DE7C76">
            <w:pPr>
              <w:autoSpaceDE w:val="0"/>
              <w:autoSpaceDN w:val="0"/>
              <w:adjustRightInd w:val="0"/>
              <w:ind w:left="60" w:right="60"/>
              <w:jc w:val="center"/>
              <w:rPr>
                <w:color w:val="000000"/>
              </w:rPr>
            </w:pPr>
            <w:r w:rsidRPr="002F576D">
              <w:rPr>
                <w:color w:val="000000"/>
              </w:rPr>
              <w:t>I11</w:t>
            </w:r>
          </w:p>
        </w:tc>
        <w:tc>
          <w:tcPr>
            <w:tcW w:w="1030" w:type="dxa"/>
            <w:shd w:val="clear" w:color="auto" w:fill="FFFFFF"/>
            <w:vAlign w:val="center"/>
          </w:tcPr>
          <w:p w14:paraId="20F9ACDA" w14:textId="77777777" w:rsidR="00AC3704" w:rsidRPr="002F576D" w:rsidRDefault="00AC3704" w:rsidP="00DE7C76">
            <w:pPr>
              <w:autoSpaceDE w:val="0"/>
              <w:autoSpaceDN w:val="0"/>
              <w:adjustRightInd w:val="0"/>
              <w:ind w:left="60" w:right="60"/>
              <w:jc w:val="center"/>
              <w:rPr>
                <w:color w:val="000000"/>
              </w:rPr>
            </w:pPr>
            <w:r w:rsidRPr="002F576D">
              <w:rPr>
                <w:color w:val="000000"/>
              </w:rPr>
              <w:t>.251</w:t>
            </w:r>
          </w:p>
        </w:tc>
        <w:tc>
          <w:tcPr>
            <w:tcW w:w="1030" w:type="dxa"/>
            <w:shd w:val="clear" w:color="auto" w:fill="FFFFFF"/>
            <w:vAlign w:val="center"/>
          </w:tcPr>
          <w:p w14:paraId="2568F1AD" w14:textId="77777777" w:rsidR="00AC3704" w:rsidRPr="002F576D" w:rsidRDefault="00AC3704" w:rsidP="00DE7C76">
            <w:pPr>
              <w:autoSpaceDE w:val="0"/>
              <w:autoSpaceDN w:val="0"/>
              <w:adjustRightInd w:val="0"/>
              <w:ind w:left="60" w:right="60"/>
              <w:jc w:val="center"/>
              <w:rPr>
                <w:color w:val="000000"/>
              </w:rPr>
            </w:pPr>
            <w:r w:rsidRPr="002F576D">
              <w:rPr>
                <w:color w:val="000000"/>
              </w:rPr>
              <w:t>.022</w:t>
            </w:r>
          </w:p>
        </w:tc>
        <w:tc>
          <w:tcPr>
            <w:tcW w:w="1030" w:type="dxa"/>
            <w:shd w:val="clear" w:color="auto" w:fill="FFFFFF"/>
            <w:vAlign w:val="center"/>
          </w:tcPr>
          <w:p w14:paraId="460C4274" w14:textId="77777777" w:rsidR="00AC3704" w:rsidRPr="002F576D" w:rsidRDefault="00AC3704" w:rsidP="00DE7C76">
            <w:pPr>
              <w:autoSpaceDE w:val="0"/>
              <w:autoSpaceDN w:val="0"/>
              <w:adjustRightInd w:val="0"/>
              <w:ind w:left="60" w:right="60"/>
              <w:jc w:val="center"/>
              <w:rPr>
                <w:color w:val="000000"/>
              </w:rPr>
            </w:pPr>
            <w:r w:rsidRPr="002F576D">
              <w:rPr>
                <w:color w:val="000000"/>
              </w:rPr>
              <w:t>.558</w:t>
            </w:r>
          </w:p>
        </w:tc>
        <w:tc>
          <w:tcPr>
            <w:tcW w:w="1030" w:type="dxa"/>
            <w:shd w:val="clear" w:color="auto" w:fill="FFFFFF"/>
            <w:vAlign w:val="center"/>
          </w:tcPr>
          <w:p w14:paraId="5F5E365A" w14:textId="77777777" w:rsidR="00AC3704" w:rsidRPr="002F576D" w:rsidRDefault="00AC3704" w:rsidP="00DE7C76">
            <w:pPr>
              <w:autoSpaceDE w:val="0"/>
              <w:autoSpaceDN w:val="0"/>
              <w:adjustRightInd w:val="0"/>
              <w:ind w:left="60" w:right="60"/>
              <w:jc w:val="center"/>
              <w:rPr>
                <w:color w:val="000000"/>
              </w:rPr>
            </w:pPr>
            <w:r w:rsidRPr="002F576D">
              <w:rPr>
                <w:color w:val="000000"/>
              </w:rPr>
              <w:t>.102</w:t>
            </w:r>
          </w:p>
        </w:tc>
        <w:tc>
          <w:tcPr>
            <w:tcW w:w="1030" w:type="dxa"/>
            <w:shd w:val="clear" w:color="auto" w:fill="FFFFFF"/>
            <w:vAlign w:val="center"/>
          </w:tcPr>
          <w:p w14:paraId="3C580F36" w14:textId="77777777" w:rsidR="00AC3704" w:rsidRPr="002F576D" w:rsidRDefault="00AC3704" w:rsidP="00DE7C76">
            <w:pPr>
              <w:autoSpaceDE w:val="0"/>
              <w:autoSpaceDN w:val="0"/>
              <w:adjustRightInd w:val="0"/>
              <w:ind w:left="60" w:right="60"/>
              <w:jc w:val="center"/>
              <w:rPr>
                <w:color w:val="000000"/>
              </w:rPr>
            </w:pPr>
            <w:r w:rsidRPr="002F576D">
              <w:rPr>
                <w:color w:val="000000"/>
              </w:rPr>
              <w:t>-.093</w:t>
            </w:r>
          </w:p>
        </w:tc>
        <w:tc>
          <w:tcPr>
            <w:tcW w:w="1030" w:type="dxa"/>
            <w:shd w:val="clear" w:color="auto" w:fill="FFFFFF"/>
            <w:vAlign w:val="center"/>
          </w:tcPr>
          <w:p w14:paraId="194C4F67" w14:textId="77777777" w:rsidR="00AC3704" w:rsidRPr="002F576D" w:rsidRDefault="00AC3704" w:rsidP="00DE7C76">
            <w:pPr>
              <w:autoSpaceDE w:val="0"/>
              <w:autoSpaceDN w:val="0"/>
              <w:adjustRightInd w:val="0"/>
              <w:ind w:left="60" w:right="60"/>
              <w:jc w:val="center"/>
              <w:rPr>
                <w:color w:val="000000"/>
              </w:rPr>
            </w:pPr>
            <w:r w:rsidRPr="002F576D">
              <w:rPr>
                <w:color w:val="000000"/>
              </w:rPr>
              <w:t>.491</w:t>
            </w:r>
          </w:p>
        </w:tc>
      </w:tr>
      <w:tr w:rsidR="00AC3704" w:rsidRPr="002F576D" w14:paraId="40E0B86B" w14:textId="77777777" w:rsidTr="00DE7C76">
        <w:trPr>
          <w:cantSplit/>
          <w:jc w:val="center"/>
        </w:trPr>
        <w:tc>
          <w:tcPr>
            <w:tcW w:w="737" w:type="dxa"/>
            <w:shd w:val="clear" w:color="auto" w:fill="FFFFFF"/>
            <w:vAlign w:val="center"/>
          </w:tcPr>
          <w:p w14:paraId="49FA9276" w14:textId="77777777" w:rsidR="00AC3704" w:rsidRPr="002F576D" w:rsidRDefault="00AC3704" w:rsidP="00DE7C76">
            <w:pPr>
              <w:autoSpaceDE w:val="0"/>
              <w:autoSpaceDN w:val="0"/>
              <w:adjustRightInd w:val="0"/>
              <w:ind w:left="60" w:right="60"/>
              <w:jc w:val="center"/>
              <w:rPr>
                <w:color w:val="000000"/>
              </w:rPr>
            </w:pPr>
            <w:r w:rsidRPr="002F576D">
              <w:rPr>
                <w:color w:val="000000"/>
              </w:rPr>
              <w:t>I18</w:t>
            </w:r>
          </w:p>
        </w:tc>
        <w:tc>
          <w:tcPr>
            <w:tcW w:w="1030" w:type="dxa"/>
            <w:shd w:val="clear" w:color="auto" w:fill="FFFFFF"/>
            <w:vAlign w:val="center"/>
          </w:tcPr>
          <w:p w14:paraId="2CD190E9" w14:textId="77777777" w:rsidR="00AC3704" w:rsidRPr="002F576D" w:rsidRDefault="00AC3704" w:rsidP="00DE7C76">
            <w:pPr>
              <w:autoSpaceDE w:val="0"/>
              <w:autoSpaceDN w:val="0"/>
              <w:adjustRightInd w:val="0"/>
              <w:ind w:left="60" w:right="60"/>
              <w:jc w:val="center"/>
              <w:rPr>
                <w:color w:val="000000"/>
              </w:rPr>
            </w:pPr>
            <w:r w:rsidRPr="002F576D">
              <w:rPr>
                <w:color w:val="000000"/>
              </w:rPr>
              <w:t>.088</w:t>
            </w:r>
          </w:p>
        </w:tc>
        <w:tc>
          <w:tcPr>
            <w:tcW w:w="1030" w:type="dxa"/>
            <w:shd w:val="clear" w:color="auto" w:fill="FFFFFF"/>
            <w:vAlign w:val="center"/>
          </w:tcPr>
          <w:p w14:paraId="7EB0FE87" w14:textId="77777777" w:rsidR="00AC3704" w:rsidRPr="002F576D" w:rsidRDefault="00AC3704" w:rsidP="00DE7C76">
            <w:pPr>
              <w:autoSpaceDE w:val="0"/>
              <w:autoSpaceDN w:val="0"/>
              <w:adjustRightInd w:val="0"/>
              <w:ind w:left="60" w:right="60"/>
              <w:jc w:val="center"/>
              <w:rPr>
                <w:color w:val="000000"/>
              </w:rPr>
            </w:pPr>
            <w:r w:rsidRPr="002F576D">
              <w:rPr>
                <w:color w:val="000000"/>
              </w:rPr>
              <w:t>-.051</w:t>
            </w:r>
          </w:p>
        </w:tc>
        <w:tc>
          <w:tcPr>
            <w:tcW w:w="1030" w:type="dxa"/>
            <w:shd w:val="clear" w:color="auto" w:fill="FFFFFF"/>
            <w:vAlign w:val="center"/>
          </w:tcPr>
          <w:p w14:paraId="6721709C" w14:textId="77777777" w:rsidR="00AC3704" w:rsidRPr="002F576D" w:rsidRDefault="00AC3704" w:rsidP="00DE7C76">
            <w:pPr>
              <w:autoSpaceDE w:val="0"/>
              <w:autoSpaceDN w:val="0"/>
              <w:adjustRightInd w:val="0"/>
              <w:ind w:left="60" w:right="60"/>
              <w:jc w:val="center"/>
              <w:rPr>
                <w:color w:val="000000"/>
              </w:rPr>
            </w:pPr>
            <w:r w:rsidRPr="002F576D">
              <w:rPr>
                <w:color w:val="000000"/>
              </w:rPr>
              <w:t>.519</w:t>
            </w:r>
          </w:p>
        </w:tc>
        <w:tc>
          <w:tcPr>
            <w:tcW w:w="1030" w:type="dxa"/>
            <w:shd w:val="clear" w:color="auto" w:fill="FFFFFF"/>
            <w:vAlign w:val="center"/>
          </w:tcPr>
          <w:p w14:paraId="08E9FC59" w14:textId="77777777" w:rsidR="00AC3704" w:rsidRPr="002F576D" w:rsidRDefault="00AC3704" w:rsidP="00DE7C76">
            <w:pPr>
              <w:autoSpaceDE w:val="0"/>
              <w:autoSpaceDN w:val="0"/>
              <w:adjustRightInd w:val="0"/>
              <w:ind w:left="60" w:right="60"/>
              <w:jc w:val="center"/>
              <w:rPr>
                <w:color w:val="000000"/>
              </w:rPr>
            </w:pPr>
            <w:r w:rsidRPr="002F576D">
              <w:rPr>
                <w:color w:val="000000"/>
              </w:rPr>
              <w:t>.139</w:t>
            </w:r>
          </w:p>
        </w:tc>
        <w:tc>
          <w:tcPr>
            <w:tcW w:w="1030" w:type="dxa"/>
            <w:shd w:val="clear" w:color="auto" w:fill="FFFFFF"/>
            <w:vAlign w:val="center"/>
          </w:tcPr>
          <w:p w14:paraId="1382967C" w14:textId="77777777" w:rsidR="00AC3704" w:rsidRPr="002F576D" w:rsidRDefault="00AC3704" w:rsidP="00DE7C76">
            <w:pPr>
              <w:autoSpaceDE w:val="0"/>
              <w:autoSpaceDN w:val="0"/>
              <w:adjustRightInd w:val="0"/>
              <w:ind w:left="60" w:right="60"/>
              <w:jc w:val="center"/>
              <w:rPr>
                <w:color w:val="000000"/>
              </w:rPr>
            </w:pPr>
            <w:r w:rsidRPr="002F576D">
              <w:rPr>
                <w:color w:val="000000"/>
              </w:rPr>
              <w:t>.445</w:t>
            </w:r>
          </w:p>
        </w:tc>
        <w:tc>
          <w:tcPr>
            <w:tcW w:w="1030" w:type="dxa"/>
            <w:shd w:val="clear" w:color="auto" w:fill="FFFFFF"/>
            <w:vAlign w:val="center"/>
          </w:tcPr>
          <w:p w14:paraId="13D3D6B6" w14:textId="77777777" w:rsidR="00AC3704" w:rsidRPr="002F576D" w:rsidRDefault="00AC3704" w:rsidP="00DE7C76">
            <w:pPr>
              <w:autoSpaceDE w:val="0"/>
              <w:autoSpaceDN w:val="0"/>
              <w:adjustRightInd w:val="0"/>
              <w:ind w:left="60" w:right="60"/>
              <w:jc w:val="center"/>
              <w:rPr>
                <w:color w:val="000000"/>
              </w:rPr>
            </w:pPr>
            <w:r w:rsidRPr="002F576D">
              <w:rPr>
                <w:color w:val="000000"/>
              </w:rPr>
              <w:t>.224</w:t>
            </w:r>
          </w:p>
        </w:tc>
      </w:tr>
      <w:tr w:rsidR="00AC3704" w:rsidRPr="002F576D" w14:paraId="1E1C5ACC" w14:textId="77777777" w:rsidTr="00DE7C76">
        <w:trPr>
          <w:cantSplit/>
          <w:jc w:val="center"/>
        </w:trPr>
        <w:tc>
          <w:tcPr>
            <w:tcW w:w="737" w:type="dxa"/>
            <w:shd w:val="clear" w:color="auto" w:fill="FFFFFF"/>
            <w:vAlign w:val="center"/>
          </w:tcPr>
          <w:p w14:paraId="080FB279" w14:textId="77777777" w:rsidR="00AC3704" w:rsidRPr="002F576D" w:rsidRDefault="00AC3704" w:rsidP="00DE7C76">
            <w:pPr>
              <w:autoSpaceDE w:val="0"/>
              <w:autoSpaceDN w:val="0"/>
              <w:adjustRightInd w:val="0"/>
              <w:ind w:left="60" w:right="60"/>
              <w:jc w:val="center"/>
              <w:rPr>
                <w:color w:val="000000"/>
              </w:rPr>
            </w:pPr>
            <w:r w:rsidRPr="002F576D">
              <w:rPr>
                <w:color w:val="000000"/>
              </w:rPr>
              <w:t>I9</w:t>
            </w:r>
          </w:p>
        </w:tc>
        <w:tc>
          <w:tcPr>
            <w:tcW w:w="1030" w:type="dxa"/>
            <w:shd w:val="clear" w:color="auto" w:fill="FFFFFF"/>
            <w:vAlign w:val="center"/>
          </w:tcPr>
          <w:p w14:paraId="5D3E7803" w14:textId="77777777" w:rsidR="00AC3704" w:rsidRPr="002F576D" w:rsidRDefault="00AC3704" w:rsidP="00DE7C76">
            <w:pPr>
              <w:autoSpaceDE w:val="0"/>
              <w:autoSpaceDN w:val="0"/>
              <w:adjustRightInd w:val="0"/>
              <w:ind w:left="60" w:right="60"/>
              <w:jc w:val="center"/>
              <w:rPr>
                <w:color w:val="000000"/>
              </w:rPr>
            </w:pPr>
            <w:r w:rsidRPr="002F576D">
              <w:rPr>
                <w:color w:val="000000"/>
              </w:rPr>
              <w:t>.217</w:t>
            </w:r>
          </w:p>
        </w:tc>
        <w:tc>
          <w:tcPr>
            <w:tcW w:w="1030" w:type="dxa"/>
            <w:shd w:val="clear" w:color="auto" w:fill="FFFFFF"/>
            <w:vAlign w:val="center"/>
          </w:tcPr>
          <w:p w14:paraId="408F03CD" w14:textId="77777777" w:rsidR="00AC3704" w:rsidRPr="002F576D" w:rsidRDefault="00AC3704" w:rsidP="00DE7C76">
            <w:pPr>
              <w:autoSpaceDE w:val="0"/>
              <w:autoSpaceDN w:val="0"/>
              <w:adjustRightInd w:val="0"/>
              <w:ind w:left="60" w:right="60"/>
              <w:jc w:val="center"/>
              <w:rPr>
                <w:color w:val="000000"/>
              </w:rPr>
            </w:pPr>
            <w:r w:rsidRPr="002F576D">
              <w:rPr>
                <w:color w:val="000000"/>
              </w:rPr>
              <w:t>.198</w:t>
            </w:r>
          </w:p>
        </w:tc>
        <w:tc>
          <w:tcPr>
            <w:tcW w:w="1030" w:type="dxa"/>
            <w:shd w:val="clear" w:color="auto" w:fill="FFFFFF"/>
            <w:vAlign w:val="center"/>
          </w:tcPr>
          <w:p w14:paraId="49919ADA" w14:textId="77777777" w:rsidR="00AC3704" w:rsidRPr="002F576D" w:rsidRDefault="00AC3704" w:rsidP="00DE7C76">
            <w:pPr>
              <w:autoSpaceDE w:val="0"/>
              <w:autoSpaceDN w:val="0"/>
              <w:adjustRightInd w:val="0"/>
              <w:ind w:left="60" w:right="60"/>
              <w:jc w:val="center"/>
              <w:rPr>
                <w:color w:val="000000"/>
              </w:rPr>
            </w:pPr>
            <w:r w:rsidRPr="002F576D">
              <w:rPr>
                <w:color w:val="000000"/>
              </w:rPr>
              <w:t>.518</w:t>
            </w:r>
          </w:p>
        </w:tc>
        <w:tc>
          <w:tcPr>
            <w:tcW w:w="1030" w:type="dxa"/>
            <w:shd w:val="clear" w:color="auto" w:fill="FFFFFF"/>
            <w:vAlign w:val="center"/>
          </w:tcPr>
          <w:p w14:paraId="71EE6CB1" w14:textId="77777777" w:rsidR="00AC3704" w:rsidRPr="002F576D" w:rsidRDefault="00AC3704" w:rsidP="00DE7C76">
            <w:pPr>
              <w:autoSpaceDE w:val="0"/>
              <w:autoSpaceDN w:val="0"/>
              <w:adjustRightInd w:val="0"/>
              <w:ind w:left="60" w:right="60"/>
              <w:jc w:val="center"/>
              <w:rPr>
                <w:color w:val="000000"/>
              </w:rPr>
            </w:pPr>
            <w:r w:rsidRPr="002F576D">
              <w:rPr>
                <w:color w:val="000000"/>
              </w:rPr>
              <w:t>.303</w:t>
            </w:r>
          </w:p>
        </w:tc>
        <w:tc>
          <w:tcPr>
            <w:tcW w:w="1030" w:type="dxa"/>
            <w:shd w:val="clear" w:color="auto" w:fill="FFFFFF"/>
            <w:vAlign w:val="center"/>
          </w:tcPr>
          <w:p w14:paraId="62CCB7C9" w14:textId="77777777" w:rsidR="00AC3704" w:rsidRPr="002F576D" w:rsidRDefault="00AC3704" w:rsidP="00DE7C76">
            <w:pPr>
              <w:autoSpaceDE w:val="0"/>
              <w:autoSpaceDN w:val="0"/>
              <w:adjustRightInd w:val="0"/>
              <w:ind w:left="60" w:right="60"/>
              <w:jc w:val="center"/>
              <w:rPr>
                <w:color w:val="000000"/>
              </w:rPr>
            </w:pPr>
            <w:r w:rsidRPr="002F576D">
              <w:rPr>
                <w:color w:val="000000"/>
              </w:rPr>
              <w:t>.157</w:t>
            </w:r>
          </w:p>
        </w:tc>
        <w:tc>
          <w:tcPr>
            <w:tcW w:w="1030" w:type="dxa"/>
            <w:shd w:val="clear" w:color="auto" w:fill="FFFFFF"/>
            <w:vAlign w:val="center"/>
          </w:tcPr>
          <w:p w14:paraId="62B39307" w14:textId="77777777" w:rsidR="00AC3704" w:rsidRPr="002F576D" w:rsidRDefault="00AC3704" w:rsidP="00DE7C76">
            <w:pPr>
              <w:autoSpaceDE w:val="0"/>
              <w:autoSpaceDN w:val="0"/>
              <w:adjustRightInd w:val="0"/>
              <w:ind w:left="60" w:right="60"/>
              <w:jc w:val="center"/>
              <w:rPr>
                <w:color w:val="000000"/>
              </w:rPr>
            </w:pPr>
            <w:r w:rsidRPr="002F576D">
              <w:rPr>
                <w:color w:val="000000"/>
              </w:rPr>
              <w:t>.192</w:t>
            </w:r>
          </w:p>
        </w:tc>
      </w:tr>
      <w:tr w:rsidR="00AC3704" w:rsidRPr="002F576D" w14:paraId="0D28CCF2" w14:textId="77777777" w:rsidTr="00DE7C76">
        <w:trPr>
          <w:cantSplit/>
          <w:jc w:val="center"/>
        </w:trPr>
        <w:tc>
          <w:tcPr>
            <w:tcW w:w="737" w:type="dxa"/>
            <w:shd w:val="clear" w:color="auto" w:fill="FFFFFF"/>
            <w:vAlign w:val="center"/>
          </w:tcPr>
          <w:p w14:paraId="40D40320" w14:textId="77777777" w:rsidR="00AC3704" w:rsidRPr="002F576D" w:rsidRDefault="00AC3704" w:rsidP="00DE7C76">
            <w:pPr>
              <w:autoSpaceDE w:val="0"/>
              <w:autoSpaceDN w:val="0"/>
              <w:adjustRightInd w:val="0"/>
              <w:ind w:left="60" w:right="60"/>
              <w:jc w:val="center"/>
              <w:rPr>
                <w:color w:val="000000"/>
              </w:rPr>
            </w:pPr>
            <w:r w:rsidRPr="002F576D">
              <w:rPr>
                <w:color w:val="000000"/>
              </w:rPr>
              <w:t>I5</w:t>
            </w:r>
          </w:p>
        </w:tc>
        <w:tc>
          <w:tcPr>
            <w:tcW w:w="1030" w:type="dxa"/>
            <w:shd w:val="clear" w:color="auto" w:fill="FFFFFF"/>
            <w:vAlign w:val="center"/>
          </w:tcPr>
          <w:p w14:paraId="2088B340" w14:textId="77777777" w:rsidR="00AC3704" w:rsidRPr="002F576D" w:rsidRDefault="00AC3704" w:rsidP="00DE7C76">
            <w:pPr>
              <w:autoSpaceDE w:val="0"/>
              <w:autoSpaceDN w:val="0"/>
              <w:adjustRightInd w:val="0"/>
              <w:ind w:left="60" w:right="60"/>
              <w:jc w:val="center"/>
              <w:rPr>
                <w:color w:val="000000"/>
              </w:rPr>
            </w:pPr>
            <w:r w:rsidRPr="002F576D">
              <w:rPr>
                <w:color w:val="000000"/>
              </w:rPr>
              <w:t>.279</w:t>
            </w:r>
          </w:p>
        </w:tc>
        <w:tc>
          <w:tcPr>
            <w:tcW w:w="1030" w:type="dxa"/>
            <w:shd w:val="clear" w:color="auto" w:fill="FFFFFF"/>
            <w:vAlign w:val="center"/>
          </w:tcPr>
          <w:p w14:paraId="375162CF" w14:textId="77777777" w:rsidR="00AC3704" w:rsidRPr="002F576D" w:rsidRDefault="00AC3704" w:rsidP="00DE7C76">
            <w:pPr>
              <w:autoSpaceDE w:val="0"/>
              <w:autoSpaceDN w:val="0"/>
              <w:adjustRightInd w:val="0"/>
              <w:ind w:left="60" w:right="60"/>
              <w:jc w:val="center"/>
              <w:rPr>
                <w:color w:val="000000"/>
              </w:rPr>
            </w:pPr>
            <w:r w:rsidRPr="002F576D">
              <w:rPr>
                <w:color w:val="000000"/>
              </w:rPr>
              <w:t>.475</w:t>
            </w:r>
          </w:p>
        </w:tc>
        <w:tc>
          <w:tcPr>
            <w:tcW w:w="1030" w:type="dxa"/>
            <w:shd w:val="clear" w:color="auto" w:fill="FFFFFF"/>
            <w:vAlign w:val="center"/>
          </w:tcPr>
          <w:p w14:paraId="484880C1" w14:textId="77777777" w:rsidR="00AC3704" w:rsidRPr="002F576D" w:rsidRDefault="00AC3704" w:rsidP="00DE7C76">
            <w:pPr>
              <w:autoSpaceDE w:val="0"/>
              <w:autoSpaceDN w:val="0"/>
              <w:adjustRightInd w:val="0"/>
              <w:ind w:left="60" w:right="60"/>
              <w:jc w:val="center"/>
              <w:rPr>
                <w:color w:val="000000"/>
              </w:rPr>
            </w:pPr>
            <w:r w:rsidRPr="002F576D">
              <w:rPr>
                <w:color w:val="000000"/>
              </w:rPr>
              <w:t>.486</w:t>
            </w:r>
          </w:p>
        </w:tc>
        <w:tc>
          <w:tcPr>
            <w:tcW w:w="1030" w:type="dxa"/>
            <w:shd w:val="clear" w:color="auto" w:fill="FFFFFF"/>
            <w:vAlign w:val="center"/>
          </w:tcPr>
          <w:p w14:paraId="208058FD" w14:textId="77777777" w:rsidR="00AC3704" w:rsidRPr="002F576D" w:rsidRDefault="00AC3704" w:rsidP="00DE7C76">
            <w:pPr>
              <w:autoSpaceDE w:val="0"/>
              <w:autoSpaceDN w:val="0"/>
              <w:adjustRightInd w:val="0"/>
              <w:ind w:left="60" w:right="60"/>
              <w:jc w:val="center"/>
              <w:rPr>
                <w:color w:val="000000"/>
              </w:rPr>
            </w:pPr>
            <w:r w:rsidRPr="002F576D">
              <w:rPr>
                <w:color w:val="000000"/>
              </w:rPr>
              <w:t>.356</w:t>
            </w:r>
          </w:p>
        </w:tc>
        <w:tc>
          <w:tcPr>
            <w:tcW w:w="1030" w:type="dxa"/>
            <w:shd w:val="clear" w:color="auto" w:fill="FFFFFF"/>
            <w:vAlign w:val="center"/>
          </w:tcPr>
          <w:p w14:paraId="76E29276" w14:textId="77777777" w:rsidR="00AC3704" w:rsidRPr="002F576D" w:rsidRDefault="00AC3704" w:rsidP="00DE7C76">
            <w:pPr>
              <w:autoSpaceDE w:val="0"/>
              <w:autoSpaceDN w:val="0"/>
              <w:adjustRightInd w:val="0"/>
              <w:ind w:left="60" w:right="60"/>
              <w:jc w:val="center"/>
              <w:rPr>
                <w:color w:val="000000"/>
              </w:rPr>
            </w:pPr>
            <w:r w:rsidRPr="002F576D">
              <w:rPr>
                <w:color w:val="000000"/>
              </w:rPr>
              <w:t>-.017</w:t>
            </w:r>
          </w:p>
        </w:tc>
        <w:tc>
          <w:tcPr>
            <w:tcW w:w="1030" w:type="dxa"/>
            <w:shd w:val="clear" w:color="auto" w:fill="FFFFFF"/>
            <w:vAlign w:val="center"/>
          </w:tcPr>
          <w:p w14:paraId="6D19ADAE" w14:textId="77777777" w:rsidR="00AC3704" w:rsidRPr="002F576D" w:rsidRDefault="00AC3704" w:rsidP="00DE7C76">
            <w:pPr>
              <w:autoSpaceDE w:val="0"/>
              <w:autoSpaceDN w:val="0"/>
              <w:adjustRightInd w:val="0"/>
              <w:ind w:left="60" w:right="60"/>
              <w:jc w:val="center"/>
              <w:rPr>
                <w:color w:val="000000"/>
              </w:rPr>
            </w:pPr>
            <w:r w:rsidRPr="002F576D">
              <w:rPr>
                <w:color w:val="000000"/>
              </w:rPr>
              <w:t>-.014</w:t>
            </w:r>
          </w:p>
        </w:tc>
      </w:tr>
      <w:tr w:rsidR="00AC3704" w:rsidRPr="002F576D" w14:paraId="2D2EEA1B" w14:textId="77777777" w:rsidTr="00DE7C76">
        <w:trPr>
          <w:cantSplit/>
          <w:jc w:val="center"/>
        </w:trPr>
        <w:tc>
          <w:tcPr>
            <w:tcW w:w="737" w:type="dxa"/>
            <w:shd w:val="clear" w:color="auto" w:fill="FFFFFF"/>
            <w:vAlign w:val="center"/>
          </w:tcPr>
          <w:p w14:paraId="714B2692" w14:textId="77777777" w:rsidR="00AC3704" w:rsidRPr="002F576D" w:rsidRDefault="00AC3704" w:rsidP="00DE7C76">
            <w:pPr>
              <w:autoSpaceDE w:val="0"/>
              <w:autoSpaceDN w:val="0"/>
              <w:adjustRightInd w:val="0"/>
              <w:ind w:left="60" w:right="60"/>
              <w:jc w:val="center"/>
              <w:rPr>
                <w:color w:val="000000"/>
              </w:rPr>
            </w:pPr>
            <w:r w:rsidRPr="002F576D">
              <w:rPr>
                <w:color w:val="000000"/>
              </w:rPr>
              <w:t>I2</w:t>
            </w:r>
          </w:p>
        </w:tc>
        <w:tc>
          <w:tcPr>
            <w:tcW w:w="1030" w:type="dxa"/>
            <w:shd w:val="clear" w:color="auto" w:fill="FFFFFF"/>
            <w:vAlign w:val="center"/>
          </w:tcPr>
          <w:p w14:paraId="6B1393E4" w14:textId="77777777" w:rsidR="00AC3704" w:rsidRPr="002F576D" w:rsidRDefault="00AC3704" w:rsidP="00DE7C76">
            <w:pPr>
              <w:autoSpaceDE w:val="0"/>
              <w:autoSpaceDN w:val="0"/>
              <w:adjustRightInd w:val="0"/>
              <w:ind w:left="60" w:right="60"/>
              <w:jc w:val="center"/>
              <w:rPr>
                <w:color w:val="000000"/>
              </w:rPr>
            </w:pPr>
            <w:r w:rsidRPr="002F576D">
              <w:rPr>
                <w:color w:val="000000"/>
              </w:rPr>
              <w:t>.115</w:t>
            </w:r>
          </w:p>
        </w:tc>
        <w:tc>
          <w:tcPr>
            <w:tcW w:w="1030" w:type="dxa"/>
            <w:shd w:val="clear" w:color="auto" w:fill="FFFFFF"/>
            <w:vAlign w:val="center"/>
          </w:tcPr>
          <w:p w14:paraId="691D7E8C" w14:textId="77777777" w:rsidR="00AC3704" w:rsidRPr="002F576D" w:rsidRDefault="00AC3704" w:rsidP="00DE7C76">
            <w:pPr>
              <w:autoSpaceDE w:val="0"/>
              <w:autoSpaceDN w:val="0"/>
              <w:adjustRightInd w:val="0"/>
              <w:ind w:left="60" w:right="60"/>
              <w:jc w:val="center"/>
              <w:rPr>
                <w:color w:val="000000"/>
              </w:rPr>
            </w:pPr>
            <w:r w:rsidRPr="002F576D">
              <w:rPr>
                <w:color w:val="000000"/>
              </w:rPr>
              <w:t>.148</w:t>
            </w:r>
          </w:p>
        </w:tc>
        <w:tc>
          <w:tcPr>
            <w:tcW w:w="1030" w:type="dxa"/>
            <w:shd w:val="clear" w:color="auto" w:fill="FFFFFF"/>
            <w:vAlign w:val="center"/>
          </w:tcPr>
          <w:p w14:paraId="2B8CB048" w14:textId="77777777" w:rsidR="00AC3704" w:rsidRPr="002F576D" w:rsidRDefault="00AC3704" w:rsidP="00DE7C76">
            <w:pPr>
              <w:autoSpaceDE w:val="0"/>
              <w:autoSpaceDN w:val="0"/>
              <w:adjustRightInd w:val="0"/>
              <w:ind w:left="60" w:right="60"/>
              <w:jc w:val="center"/>
              <w:rPr>
                <w:color w:val="000000"/>
              </w:rPr>
            </w:pPr>
            <w:r w:rsidRPr="002F576D">
              <w:rPr>
                <w:color w:val="000000"/>
              </w:rPr>
              <w:t>.037</w:t>
            </w:r>
          </w:p>
        </w:tc>
        <w:tc>
          <w:tcPr>
            <w:tcW w:w="1030" w:type="dxa"/>
            <w:shd w:val="clear" w:color="auto" w:fill="FFFFFF"/>
            <w:vAlign w:val="center"/>
          </w:tcPr>
          <w:p w14:paraId="4F537174" w14:textId="77777777" w:rsidR="00AC3704" w:rsidRPr="002F576D" w:rsidRDefault="00AC3704" w:rsidP="00DE7C76">
            <w:pPr>
              <w:autoSpaceDE w:val="0"/>
              <w:autoSpaceDN w:val="0"/>
              <w:adjustRightInd w:val="0"/>
              <w:ind w:left="60" w:right="60"/>
              <w:jc w:val="center"/>
              <w:rPr>
                <w:color w:val="000000"/>
              </w:rPr>
            </w:pPr>
            <w:r w:rsidRPr="002F576D">
              <w:rPr>
                <w:color w:val="000000"/>
              </w:rPr>
              <w:t>.852</w:t>
            </w:r>
          </w:p>
        </w:tc>
        <w:tc>
          <w:tcPr>
            <w:tcW w:w="1030" w:type="dxa"/>
            <w:shd w:val="clear" w:color="auto" w:fill="FFFFFF"/>
            <w:vAlign w:val="center"/>
          </w:tcPr>
          <w:p w14:paraId="4F344AED" w14:textId="77777777" w:rsidR="00AC3704" w:rsidRPr="002F576D" w:rsidRDefault="00AC3704" w:rsidP="00DE7C76">
            <w:pPr>
              <w:autoSpaceDE w:val="0"/>
              <w:autoSpaceDN w:val="0"/>
              <w:adjustRightInd w:val="0"/>
              <w:ind w:left="60" w:right="60"/>
              <w:jc w:val="center"/>
              <w:rPr>
                <w:color w:val="000000"/>
              </w:rPr>
            </w:pPr>
            <w:r w:rsidRPr="002F576D">
              <w:rPr>
                <w:color w:val="000000"/>
              </w:rPr>
              <w:t>.096</w:t>
            </w:r>
          </w:p>
        </w:tc>
        <w:tc>
          <w:tcPr>
            <w:tcW w:w="1030" w:type="dxa"/>
            <w:shd w:val="clear" w:color="auto" w:fill="FFFFFF"/>
            <w:vAlign w:val="center"/>
          </w:tcPr>
          <w:p w14:paraId="242B537F" w14:textId="77777777" w:rsidR="00AC3704" w:rsidRPr="002F576D" w:rsidRDefault="00AC3704" w:rsidP="00DE7C76">
            <w:pPr>
              <w:autoSpaceDE w:val="0"/>
              <w:autoSpaceDN w:val="0"/>
              <w:adjustRightInd w:val="0"/>
              <w:ind w:left="60" w:right="60"/>
              <w:jc w:val="center"/>
              <w:rPr>
                <w:color w:val="000000"/>
              </w:rPr>
            </w:pPr>
            <w:r w:rsidRPr="002F576D">
              <w:rPr>
                <w:color w:val="000000"/>
              </w:rPr>
              <w:t>.223</w:t>
            </w:r>
          </w:p>
        </w:tc>
      </w:tr>
      <w:tr w:rsidR="00AC3704" w:rsidRPr="002F576D" w14:paraId="0000C7DB" w14:textId="77777777" w:rsidTr="00DE7C76">
        <w:trPr>
          <w:cantSplit/>
          <w:jc w:val="center"/>
        </w:trPr>
        <w:tc>
          <w:tcPr>
            <w:tcW w:w="737" w:type="dxa"/>
            <w:shd w:val="clear" w:color="auto" w:fill="FFFFFF"/>
            <w:vAlign w:val="center"/>
          </w:tcPr>
          <w:p w14:paraId="7BD7E5C5" w14:textId="77777777" w:rsidR="00AC3704" w:rsidRPr="002F576D" w:rsidRDefault="00AC3704" w:rsidP="00DE7C76">
            <w:pPr>
              <w:autoSpaceDE w:val="0"/>
              <w:autoSpaceDN w:val="0"/>
              <w:adjustRightInd w:val="0"/>
              <w:ind w:left="60" w:right="60"/>
              <w:jc w:val="center"/>
              <w:rPr>
                <w:color w:val="000000"/>
              </w:rPr>
            </w:pPr>
            <w:r w:rsidRPr="002F576D">
              <w:rPr>
                <w:color w:val="000000"/>
              </w:rPr>
              <w:t>I1</w:t>
            </w:r>
          </w:p>
        </w:tc>
        <w:tc>
          <w:tcPr>
            <w:tcW w:w="1030" w:type="dxa"/>
            <w:shd w:val="clear" w:color="auto" w:fill="FFFFFF"/>
            <w:vAlign w:val="center"/>
          </w:tcPr>
          <w:p w14:paraId="2496C036" w14:textId="77777777" w:rsidR="00AC3704" w:rsidRPr="002F576D" w:rsidRDefault="00AC3704" w:rsidP="00DE7C76">
            <w:pPr>
              <w:autoSpaceDE w:val="0"/>
              <w:autoSpaceDN w:val="0"/>
              <w:adjustRightInd w:val="0"/>
              <w:ind w:left="60" w:right="60"/>
              <w:jc w:val="center"/>
              <w:rPr>
                <w:color w:val="000000"/>
              </w:rPr>
            </w:pPr>
            <w:r w:rsidRPr="002F576D">
              <w:rPr>
                <w:color w:val="000000"/>
              </w:rPr>
              <w:t>.051</w:t>
            </w:r>
          </w:p>
        </w:tc>
        <w:tc>
          <w:tcPr>
            <w:tcW w:w="1030" w:type="dxa"/>
            <w:shd w:val="clear" w:color="auto" w:fill="FFFFFF"/>
            <w:vAlign w:val="center"/>
          </w:tcPr>
          <w:p w14:paraId="4658A505" w14:textId="77777777" w:rsidR="00AC3704" w:rsidRPr="002F576D" w:rsidRDefault="00AC3704" w:rsidP="00DE7C76">
            <w:pPr>
              <w:autoSpaceDE w:val="0"/>
              <w:autoSpaceDN w:val="0"/>
              <w:adjustRightInd w:val="0"/>
              <w:ind w:left="60" w:right="60"/>
              <w:jc w:val="center"/>
              <w:rPr>
                <w:color w:val="000000"/>
              </w:rPr>
            </w:pPr>
            <w:r w:rsidRPr="002F576D">
              <w:rPr>
                <w:color w:val="000000"/>
              </w:rPr>
              <w:t>.257</w:t>
            </w:r>
          </w:p>
        </w:tc>
        <w:tc>
          <w:tcPr>
            <w:tcW w:w="1030" w:type="dxa"/>
            <w:shd w:val="clear" w:color="auto" w:fill="FFFFFF"/>
            <w:vAlign w:val="center"/>
          </w:tcPr>
          <w:p w14:paraId="51BF7CA5" w14:textId="77777777" w:rsidR="00AC3704" w:rsidRPr="002F576D" w:rsidRDefault="00AC3704" w:rsidP="00DE7C76">
            <w:pPr>
              <w:autoSpaceDE w:val="0"/>
              <w:autoSpaceDN w:val="0"/>
              <w:adjustRightInd w:val="0"/>
              <w:ind w:left="60" w:right="60"/>
              <w:jc w:val="center"/>
              <w:rPr>
                <w:color w:val="000000"/>
              </w:rPr>
            </w:pPr>
            <w:r w:rsidRPr="002F576D">
              <w:rPr>
                <w:color w:val="000000"/>
              </w:rPr>
              <w:t>.056</w:t>
            </w:r>
          </w:p>
        </w:tc>
        <w:tc>
          <w:tcPr>
            <w:tcW w:w="1030" w:type="dxa"/>
            <w:shd w:val="clear" w:color="auto" w:fill="FFFFFF"/>
            <w:vAlign w:val="center"/>
          </w:tcPr>
          <w:p w14:paraId="3A1D98E3" w14:textId="77777777" w:rsidR="00AC3704" w:rsidRPr="002F576D" w:rsidRDefault="00AC3704" w:rsidP="00DE7C76">
            <w:pPr>
              <w:autoSpaceDE w:val="0"/>
              <w:autoSpaceDN w:val="0"/>
              <w:adjustRightInd w:val="0"/>
              <w:ind w:left="60" w:right="60"/>
              <w:jc w:val="center"/>
              <w:rPr>
                <w:color w:val="000000"/>
              </w:rPr>
            </w:pPr>
            <w:r w:rsidRPr="002F576D">
              <w:rPr>
                <w:color w:val="000000"/>
              </w:rPr>
              <w:t>.838</w:t>
            </w:r>
          </w:p>
        </w:tc>
        <w:tc>
          <w:tcPr>
            <w:tcW w:w="1030" w:type="dxa"/>
            <w:shd w:val="clear" w:color="auto" w:fill="FFFFFF"/>
            <w:vAlign w:val="center"/>
          </w:tcPr>
          <w:p w14:paraId="1C7F193B" w14:textId="77777777" w:rsidR="00AC3704" w:rsidRPr="002F576D" w:rsidRDefault="00AC3704" w:rsidP="00DE7C76">
            <w:pPr>
              <w:autoSpaceDE w:val="0"/>
              <w:autoSpaceDN w:val="0"/>
              <w:adjustRightInd w:val="0"/>
              <w:ind w:left="60" w:right="60"/>
              <w:jc w:val="center"/>
              <w:rPr>
                <w:color w:val="000000"/>
              </w:rPr>
            </w:pPr>
            <w:r w:rsidRPr="002F576D">
              <w:rPr>
                <w:color w:val="000000"/>
              </w:rPr>
              <w:t>.118</w:t>
            </w:r>
          </w:p>
        </w:tc>
        <w:tc>
          <w:tcPr>
            <w:tcW w:w="1030" w:type="dxa"/>
            <w:shd w:val="clear" w:color="auto" w:fill="FFFFFF"/>
            <w:vAlign w:val="center"/>
          </w:tcPr>
          <w:p w14:paraId="52F79AF7" w14:textId="77777777" w:rsidR="00AC3704" w:rsidRPr="002F576D" w:rsidRDefault="00AC3704" w:rsidP="00DE7C76">
            <w:pPr>
              <w:autoSpaceDE w:val="0"/>
              <w:autoSpaceDN w:val="0"/>
              <w:adjustRightInd w:val="0"/>
              <w:ind w:left="60" w:right="60"/>
              <w:jc w:val="center"/>
              <w:rPr>
                <w:color w:val="000000"/>
              </w:rPr>
            </w:pPr>
            <w:r w:rsidRPr="002F576D">
              <w:rPr>
                <w:color w:val="000000"/>
              </w:rPr>
              <w:t>.073</w:t>
            </w:r>
          </w:p>
        </w:tc>
      </w:tr>
      <w:tr w:rsidR="00AC3704" w:rsidRPr="002F576D" w14:paraId="319220DB" w14:textId="77777777" w:rsidTr="00DE7C76">
        <w:trPr>
          <w:cantSplit/>
          <w:jc w:val="center"/>
        </w:trPr>
        <w:tc>
          <w:tcPr>
            <w:tcW w:w="737" w:type="dxa"/>
            <w:shd w:val="clear" w:color="auto" w:fill="FFFFFF"/>
            <w:vAlign w:val="center"/>
          </w:tcPr>
          <w:p w14:paraId="38FFD308" w14:textId="77777777" w:rsidR="00AC3704" w:rsidRPr="002F576D" w:rsidRDefault="00AC3704" w:rsidP="00DE7C76">
            <w:pPr>
              <w:autoSpaceDE w:val="0"/>
              <w:autoSpaceDN w:val="0"/>
              <w:adjustRightInd w:val="0"/>
              <w:ind w:left="60" w:right="60"/>
              <w:jc w:val="center"/>
              <w:rPr>
                <w:color w:val="000000"/>
              </w:rPr>
            </w:pPr>
            <w:r w:rsidRPr="002F576D">
              <w:rPr>
                <w:color w:val="000000"/>
              </w:rPr>
              <w:t>I3</w:t>
            </w:r>
          </w:p>
        </w:tc>
        <w:tc>
          <w:tcPr>
            <w:tcW w:w="1030" w:type="dxa"/>
            <w:shd w:val="clear" w:color="auto" w:fill="FFFFFF"/>
            <w:vAlign w:val="center"/>
          </w:tcPr>
          <w:p w14:paraId="494FB5C5" w14:textId="77777777" w:rsidR="00AC3704" w:rsidRPr="002F576D" w:rsidRDefault="00AC3704" w:rsidP="00DE7C76">
            <w:pPr>
              <w:autoSpaceDE w:val="0"/>
              <w:autoSpaceDN w:val="0"/>
              <w:adjustRightInd w:val="0"/>
              <w:ind w:left="60" w:right="60"/>
              <w:jc w:val="center"/>
              <w:rPr>
                <w:color w:val="000000"/>
              </w:rPr>
            </w:pPr>
            <w:r w:rsidRPr="002F576D">
              <w:rPr>
                <w:color w:val="000000"/>
              </w:rPr>
              <w:t>.214</w:t>
            </w:r>
          </w:p>
        </w:tc>
        <w:tc>
          <w:tcPr>
            <w:tcW w:w="1030" w:type="dxa"/>
            <w:shd w:val="clear" w:color="auto" w:fill="FFFFFF"/>
            <w:vAlign w:val="center"/>
          </w:tcPr>
          <w:p w14:paraId="11FD225B" w14:textId="77777777" w:rsidR="00AC3704" w:rsidRPr="002F576D" w:rsidRDefault="00AC3704" w:rsidP="00DE7C76">
            <w:pPr>
              <w:autoSpaceDE w:val="0"/>
              <w:autoSpaceDN w:val="0"/>
              <w:adjustRightInd w:val="0"/>
              <w:ind w:left="60" w:right="60"/>
              <w:jc w:val="center"/>
              <w:rPr>
                <w:color w:val="000000"/>
              </w:rPr>
            </w:pPr>
            <w:r w:rsidRPr="002F576D">
              <w:rPr>
                <w:color w:val="000000"/>
              </w:rPr>
              <w:t>.159</w:t>
            </w:r>
          </w:p>
        </w:tc>
        <w:tc>
          <w:tcPr>
            <w:tcW w:w="1030" w:type="dxa"/>
            <w:shd w:val="clear" w:color="auto" w:fill="FFFFFF"/>
            <w:vAlign w:val="center"/>
          </w:tcPr>
          <w:p w14:paraId="371BC417" w14:textId="77777777" w:rsidR="00AC3704" w:rsidRPr="002F576D" w:rsidRDefault="00AC3704" w:rsidP="00DE7C76">
            <w:pPr>
              <w:autoSpaceDE w:val="0"/>
              <w:autoSpaceDN w:val="0"/>
              <w:adjustRightInd w:val="0"/>
              <w:ind w:left="60" w:right="60"/>
              <w:jc w:val="center"/>
              <w:rPr>
                <w:color w:val="000000"/>
              </w:rPr>
            </w:pPr>
            <w:r w:rsidRPr="002F576D">
              <w:rPr>
                <w:color w:val="000000"/>
              </w:rPr>
              <w:t>.247</w:t>
            </w:r>
          </w:p>
        </w:tc>
        <w:tc>
          <w:tcPr>
            <w:tcW w:w="1030" w:type="dxa"/>
            <w:shd w:val="clear" w:color="auto" w:fill="FFFFFF"/>
            <w:vAlign w:val="center"/>
          </w:tcPr>
          <w:p w14:paraId="3F3E87B0" w14:textId="77777777" w:rsidR="00AC3704" w:rsidRPr="002F576D" w:rsidRDefault="00AC3704" w:rsidP="00DE7C76">
            <w:pPr>
              <w:autoSpaceDE w:val="0"/>
              <w:autoSpaceDN w:val="0"/>
              <w:adjustRightInd w:val="0"/>
              <w:ind w:left="60" w:right="60"/>
              <w:jc w:val="center"/>
              <w:rPr>
                <w:color w:val="000000"/>
              </w:rPr>
            </w:pPr>
            <w:r w:rsidRPr="002F576D">
              <w:rPr>
                <w:color w:val="000000"/>
              </w:rPr>
              <w:t>.820</w:t>
            </w:r>
          </w:p>
        </w:tc>
        <w:tc>
          <w:tcPr>
            <w:tcW w:w="1030" w:type="dxa"/>
            <w:shd w:val="clear" w:color="auto" w:fill="FFFFFF"/>
            <w:vAlign w:val="center"/>
          </w:tcPr>
          <w:p w14:paraId="5CE842E7" w14:textId="77777777" w:rsidR="00AC3704" w:rsidRPr="002F576D" w:rsidRDefault="00AC3704" w:rsidP="00DE7C76">
            <w:pPr>
              <w:autoSpaceDE w:val="0"/>
              <w:autoSpaceDN w:val="0"/>
              <w:adjustRightInd w:val="0"/>
              <w:ind w:left="60" w:right="60"/>
              <w:jc w:val="center"/>
              <w:rPr>
                <w:color w:val="000000"/>
              </w:rPr>
            </w:pPr>
            <w:r w:rsidRPr="002F576D">
              <w:rPr>
                <w:color w:val="000000"/>
              </w:rPr>
              <w:t>.114</w:t>
            </w:r>
          </w:p>
        </w:tc>
        <w:tc>
          <w:tcPr>
            <w:tcW w:w="1030" w:type="dxa"/>
            <w:shd w:val="clear" w:color="auto" w:fill="FFFFFF"/>
            <w:vAlign w:val="center"/>
          </w:tcPr>
          <w:p w14:paraId="555B7B32" w14:textId="77777777" w:rsidR="00AC3704" w:rsidRPr="002F576D" w:rsidRDefault="00AC3704" w:rsidP="00DE7C76">
            <w:pPr>
              <w:autoSpaceDE w:val="0"/>
              <w:autoSpaceDN w:val="0"/>
              <w:adjustRightInd w:val="0"/>
              <w:ind w:left="60" w:right="60"/>
              <w:jc w:val="center"/>
              <w:rPr>
                <w:color w:val="000000"/>
              </w:rPr>
            </w:pPr>
            <w:r w:rsidRPr="002F576D">
              <w:rPr>
                <w:color w:val="000000"/>
              </w:rPr>
              <w:t>.048</w:t>
            </w:r>
          </w:p>
        </w:tc>
      </w:tr>
      <w:tr w:rsidR="00AC3704" w:rsidRPr="002F576D" w14:paraId="3AF58BAC" w14:textId="77777777" w:rsidTr="00DE7C76">
        <w:trPr>
          <w:cantSplit/>
          <w:jc w:val="center"/>
        </w:trPr>
        <w:tc>
          <w:tcPr>
            <w:tcW w:w="737" w:type="dxa"/>
            <w:shd w:val="clear" w:color="auto" w:fill="FFFFFF"/>
            <w:vAlign w:val="center"/>
          </w:tcPr>
          <w:p w14:paraId="4E03366B" w14:textId="77777777" w:rsidR="00AC3704" w:rsidRPr="002F576D" w:rsidRDefault="00AC3704" w:rsidP="00DE7C76">
            <w:pPr>
              <w:autoSpaceDE w:val="0"/>
              <w:autoSpaceDN w:val="0"/>
              <w:adjustRightInd w:val="0"/>
              <w:ind w:left="60" w:right="60"/>
              <w:jc w:val="center"/>
              <w:rPr>
                <w:color w:val="000000"/>
              </w:rPr>
            </w:pPr>
            <w:r w:rsidRPr="002F576D">
              <w:rPr>
                <w:color w:val="000000"/>
              </w:rPr>
              <w:t>I23</w:t>
            </w:r>
          </w:p>
        </w:tc>
        <w:tc>
          <w:tcPr>
            <w:tcW w:w="1030" w:type="dxa"/>
            <w:shd w:val="clear" w:color="auto" w:fill="FFFFFF"/>
            <w:vAlign w:val="center"/>
          </w:tcPr>
          <w:p w14:paraId="6C4B7DEF" w14:textId="77777777" w:rsidR="00AC3704" w:rsidRPr="002F576D" w:rsidRDefault="00AC3704" w:rsidP="00DE7C76">
            <w:pPr>
              <w:autoSpaceDE w:val="0"/>
              <w:autoSpaceDN w:val="0"/>
              <w:adjustRightInd w:val="0"/>
              <w:ind w:left="60" w:right="60"/>
              <w:jc w:val="center"/>
              <w:rPr>
                <w:color w:val="000000"/>
              </w:rPr>
            </w:pPr>
            <w:r w:rsidRPr="002F576D">
              <w:rPr>
                <w:color w:val="000000"/>
              </w:rPr>
              <w:t>.452</w:t>
            </w:r>
          </w:p>
        </w:tc>
        <w:tc>
          <w:tcPr>
            <w:tcW w:w="1030" w:type="dxa"/>
            <w:shd w:val="clear" w:color="auto" w:fill="FFFFFF"/>
            <w:vAlign w:val="center"/>
          </w:tcPr>
          <w:p w14:paraId="272B3C93" w14:textId="77777777" w:rsidR="00AC3704" w:rsidRPr="002F576D" w:rsidRDefault="00AC3704" w:rsidP="00DE7C76">
            <w:pPr>
              <w:autoSpaceDE w:val="0"/>
              <w:autoSpaceDN w:val="0"/>
              <w:adjustRightInd w:val="0"/>
              <w:ind w:left="60" w:right="60"/>
              <w:jc w:val="center"/>
              <w:rPr>
                <w:color w:val="000000"/>
              </w:rPr>
            </w:pPr>
            <w:r w:rsidRPr="002F576D">
              <w:rPr>
                <w:color w:val="000000"/>
              </w:rPr>
              <w:t>-.133</w:t>
            </w:r>
          </w:p>
        </w:tc>
        <w:tc>
          <w:tcPr>
            <w:tcW w:w="1030" w:type="dxa"/>
            <w:shd w:val="clear" w:color="auto" w:fill="FFFFFF"/>
            <w:vAlign w:val="center"/>
          </w:tcPr>
          <w:p w14:paraId="40BFABE5" w14:textId="77777777" w:rsidR="00AC3704" w:rsidRPr="002F576D" w:rsidRDefault="00AC3704" w:rsidP="00DE7C76">
            <w:pPr>
              <w:autoSpaceDE w:val="0"/>
              <w:autoSpaceDN w:val="0"/>
              <w:adjustRightInd w:val="0"/>
              <w:ind w:left="60" w:right="60"/>
              <w:jc w:val="center"/>
              <w:rPr>
                <w:color w:val="000000"/>
              </w:rPr>
            </w:pPr>
            <w:r w:rsidRPr="002F576D">
              <w:rPr>
                <w:color w:val="000000"/>
              </w:rPr>
              <w:t>.098</w:t>
            </w:r>
          </w:p>
        </w:tc>
        <w:tc>
          <w:tcPr>
            <w:tcW w:w="1030" w:type="dxa"/>
            <w:shd w:val="clear" w:color="auto" w:fill="FFFFFF"/>
            <w:vAlign w:val="center"/>
          </w:tcPr>
          <w:p w14:paraId="14323787" w14:textId="77777777" w:rsidR="00AC3704" w:rsidRPr="002F576D" w:rsidRDefault="00AC3704" w:rsidP="00DE7C76">
            <w:pPr>
              <w:autoSpaceDE w:val="0"/>
              <w:autoSpaceDN w:val="0"/>
              <w:adjustRightInd w:val="0"/>
              <w:ind w:left="60" w:right="60"/>
              <w:jc w:val="center"/>
              <w:rPr>
                <w:color w:val="000000"/>
              </w:rPr>
            </w:pPr>
            <w:r w:rsidRPr="002F576D">
              <w:rPr>
                <w:color w:val="000000"/>
              </w:rPr>
              <w:t>.480</w:t>
            </w:r>
          </w:p>
        </w:tc>
        <w:tc>
          <w:tcPr>
            <w:tcW w:w="1030" w:type="dxa"/>
            <w:shd w:val="clear" w:color="auto" w:fill="FFFFFF"/>
            <w:vAlign w:val="center"/>
          </w:tcPr>
          <w:p w14:paraId="6588E685" w14:textId="77777777" w:rsidR="00AC3704" w:rsidRPr="002F576D" w:rsidRDefault="00AC3704" w:rsidP="00DE7C76">
            <w:pPr>
              <w:autoSpaceDE w:val="0"/>
              <w:autoSpaceDN w:val="0"/>
              <w:adjustRightInd w:val="0"/>
              <w:ind w:left="60" w:right="60"/>
              <w:jc w:val="center"/>
              <w:rPr>
                <w:color w:val="000000"/>
              </w:rPr>
            </w:pPr>
            <w:r w:rsidRPr="002F576D">
              <w:rPr>
                <w:color w:val="000000"/>
              </w:rPr>
              <w:t>.464</w:t>
            </w:r>
          </w:p>
        </w:tc>
        <w:tc>
          <w:tcPr>
            <w:tcW w:w="1030" w:type="dxa"/>
            <w:shd w:val="clear" w:color="auto" w:fill="FFFFFF"/>
            <w:vAlign w:val="center"/>
          </w:tcPr>
          <w:p w14:paraId="50006A29" w14:textId="77777777" w:rsidR="00AC3704" w:rsidRPr="002F576D" w:rsidRDefault="00AC3704" w:rsidP="00DE7C76">
            <w:pPr>
              <w:autoSpaceDE w:val="0"/>
              <w:autoSpaceDN w:val="0"/>
              <w:adjustRightInd w:val="0"/>
              <w:ind w:left="60" w:right="60"/>
              <w:jc w:val="center"/>
              <w:rPr>
                <w:color w:val="000000"/>
              </w:rPr>
            </w:pPr>
            <w:r w:rsidRPr="002F576D">
              <w:rPr>
                <w:color w:val="000000"/>
              </w:rPr>
              <w:t>.014</w:t>
            </w:r>
          </w:p>
        </w:tc>
      </w:tr>
      <w:tr w:rsidR="00AC3704" w:rsidRPr="002F576D" w14:paraId="606D836A" w14:textId="77777777" w:rsidTr="00DE7C76">
        <w:trPr>
          <w:cantSplit/>
          <w:jc w:val="center"/>
        </w:trPr>
        <w:tc>
          <w:tcPr>
            <w:tcW w:w="737" w:type="dxa"/>
            <w:shd w:val="clear" w:color="auto" w:fill="FFFFFF"/>
            <w:vAlign w:val="center"/>
          </w:tcPr>
          <w:p w14:paraId="78FC2B16" w14:textId="77777777" w:rsidR="00AC3704" w:rsidRPr="002F576D" w:rsidRDefault="00AC3704" w:rsidP="00DE7C76">
            <w:pPr>
              <w:autoSpaceDE w:val="0"/>
              <w:autoSpaceDN w:val="0"/>
              <w:adjustRightInd w:val="0"/>
              <w:ind w:left="60" w:right="60"/>
              <w:jc w:val="center"/>
              <w:rPr>
                <w:color w:val="000000"/>
              </w:rPr>
            </w:pPr>
            <w:r w:rsidRPr="002F576D">
              <w:rPr>
                <w:color w:val="000000"/>
              </w:rPr>
              <w:t>I4</w:t>
            </w:r>
          </w:p>
        </w:tc>
        <w:tc>
          <w:tcPr>
            <w:tcW w:w="1030" w:type="dxa"/>
            <w:shd w:val="clear" w:color="auto" w:fill="FFFFFF"/>
            <w:vAlign w:val="center"/>
          </w:tcPr>
          <w:p w14:paraId="7D0DD084" w14:textId="77777777" w:rsidR="00AC3704" w:rsidRPr="002F576D" w:rsidRDefault="00AC3704" w:rsidP="00DE7C76">
            <w:pPr>
              <w:autoSpaceDE w:val="0"/>
              <w:autoSpaceDN w:val="0"/>
              <w:adjustRightInd w:val="0"/>
              <w:ind w:left="60" w:right="60"/>
              <w:jc w:val="center"/>
              <w:rPr>
                <w:color w:val="000000"/>
              </w:rPr>
            </w:pPr>
            <w:r w:rsidRPr="002F576D">
              <w:rPr>
                <w:color w:val="000000"/>
              </w:rPr>
              <w:t>.313</w:t>
            </w:r>
          </w:p>
        </w:tc>
        <w:tc>
          <w:tcPr>
            <w:tcW w:w="1030" w:type="dxa"/>
            <w:shd w:val="clear" w:color="auto" w:fill="FFFFFF"/>
            <w:vAlign w:val="center"/>
          </w:tcPr>
          <w:p w14:paraId="16055CF4" w14:textId="77777777" w:rsidR="00AC3704" w:rsidRPr="002F576D" w:rsidRDefault="00AC3704" w:rsidP="00DE7C76">
            <w:pPr>
              <w:autoSpaceDE w:val="0"/>
              <w:autoSpaceDN w:val="0"/>
              <w:adjustRightInd w:val="0"/>
              <w:ind w:left="60" w:right="60"/>
              <w:jc w:val="center"/>
              <w:rPr>
                <w:color w:val="000000"/>
              </w:rPr>
            </w:pPr>
            <w:r w:rsidRPr="002F576D">
              <w:rPr>
                <w:color w:val="000000"/>
              </w:rPr>
              <w:t>.428</w:t>
            </w:r>
          </w:p>
        </w:tc>
        <w:tc>
          <w:tcPr>
            <w:tcW w:w="1030" w:type="dxa"/>
            <w:shd w:val="clear" w:color="auto" w:fill="FFFFFF"/>
            <w:vAlign w:val="center"/>
          </w:tcPr>
          <w:p w14:paraId="66CBC000" w14:textId="77777777" w:rsidR="00AC3704" w:rsidRPr="002F576D" w:rsidRDefault="00AC3704" w:rsidP="00DE7C76">
            <w:pPr>
              <w:autoSpaceDE w:val="0"/>
              <w:autoSpaceDN w:val="0"/>
              <w:adjustRightInd w:val="0"/>
              <w:ind w:left="60" w:right="60"/>
              <w:jc w:val="center"/>
              <w:rPr>
                <w:color w:val="000000"/>
              </w:rPr>
            </w:pPr>
            <w:r w:rsidRPr="002F576D">
              <w:rPr>
                <w:color w:val="000000"/>
              </w:rPr>
              <w:t>.391</w:t>
            </w:r>
          </w:p>
        </w:tc>
        <w:tc>
          <w:tcPr>
            <w:tcW w:w="1030" w:type="dxa"/>
            <w:shd w:val="clear" w:color="auto" w:fill="FFFFFF"/>
            <w:vAlign w:val="center"/>
          </w:tcPr>
          <w:p w14:paraId="3191A528" w14:textId="77777777" w:rsidR="00AC3704" w:rsidRPr="002F576D" w:rsidRDefault="00AC3704" w:rsidP="00DE7C76">
            <w:pPr>
              <w:autoSpaceDE w:val="0"/>
              <w:autoSpaceDN w:val="0"/>
              <w:adjustRightInd w:val="0"/>
              <w:ind w:left="60" w:right="60"/>
              <w:jc w:val="center"/>
              <w:rPr>
                <w:color w:val="000000"/>
              </w:rPr>
            </w:pPr>
            <w:r w:rsidRPr="002F576D">
              <w:rPr>
                <w:color w:val="000000"/>
              </w:rPr>
              <w:t>.479</w:t>
            </w:r>
          </w:p>
        </w:tc>
        <w:tc>
          <w:tcPr>
            <w:tcW w:w="1030" w:type="dxa"/>
            <w:shd w:val="clear" w:color="auto" w:fill="FFFFFF"/>
            <w:vAlign w:val="center"/>
          </w:tcPr>
          <w:p w14:paraId="3B79AB40" w14:textId="77777777" w:rsidR="00AC3704" w:rsidRPr="002F576D" w:rsidRDefault="00AC3704" w:rsidP="00DE7C76">
            <w:pPr>
              <w:autoSpaceDE w:val="0"/>
              <w:autoSpaceDN w:val="0"/>
              <w:adjustRightInd w:val="0"/>
              <w:ind w:left="60" w:right="60"/>
              <w:jc w:val="center"/>
              <w:rPr>
                <w:color w:val="000000"/>
              </w:rPr>
            </w:pPr>
            <w:r w:rsidRPr="002F576D">
              <w:rPr>
                <w:color w:val="000000"/>
              </w:rPr>
              <w:t>.225</w:t>
            </w:r>
          </w:p>
        </w:tc>
        <w:tc>
          <w:tcPr>
            <w:tcW w:w="1030" w:type="dxa"/>
            <w:shd w:val="clear" w:color="auto" w:fill="FFFFFF"/>
            <w:vAlign w:val="center"/>
          </w:tcPr>
          <w:p w14:paraId="45AB872C" w14:textId="77777777" w:rsidR="00AC3704" w:rsidRPr="002F576D" w:rsidRDefault="00AC3704" w:rsidP="00DE7C76">
            <w:pPr>
              <w:autoSpaceDE w:val="0"/>
              <w:autoSpaceDN w:val="0"/>
              <w:adjustRightInd w:val="0"/>
              <w:ind w:left="60" w:right="60"/>
              <w:jc w:val="center"/>
              <w:rPr>
                <w:color w:val="000000"/>
              </w:rPr>
            </w:pPr>
            <w:r w:rsidRPr="002F576D">
              <w:rPr>
                <w:color w:val="000000"/>
              </w:rPr>
              <w:t>-.031</w:t>
            </w:r>
          </w:p>
        </w:tc>
      </w:tr>
      <w:tr w:rsidR="00AC3704" w:rsidRPr="002F576D" w14:paraId="230F1F1E" w14:textId="77777777" w:rsidTr="00DE7C76">
        <w:trPr>
          <w:cantSplit/>
          <w:jc w:val="center"/>
        </w:trPr>
        <w:tc>
          <w:tcPr>
            <w:tcW w:w="737" w:type="dxa"/>
            <w:shd w:val="clear" w:color="auto" w:fill="FFFFFF"/>
            <w:vAlign w:val="center"/>
          </w:tcPr>
          <w:p w14:paraId="645770F1" w14:textId="77777777" w:rsidR="00AC3704" w:rsidRPr="002F576D" w:rsidRDefault="00AC3704" w:rsidP="00DE7C76">
            <w:pPr>
              <w:autoSpaceDE w:val="0"/>
              <w:autoSpaceDN w:val="0"/>
              <w:adjustRightInd w:val="0"/>
              <w:ind w:left="60" w:right="60"/>
              <w:jc w:val="center"/>
              <w:rPr>
                <w:color w:val="000000"/>
              </w:rPr>
            </w:pPr>
            <w:r w:rsidRPr="002F576D">
              <w:rPr>
                <w:color w:val="000000"/>
              </w:rPr>
              <w:t>I21</w:t>
            </w:r>
          </w:p>
        </w:tc>
        <w:tc>
          <w:tcPr>
            <w:tcW w:w="1030" w:type="dxa"/>
            <w:shd w:val="clear" w:color="auto" w:fill="FFFFFF"/>
            <w:vAlign w:val="center"/>
          </w:tcPr>
          <w:p w14:paraId="0994BBEC" w14:textId="77777777" w:rsidR="00AC3704" w:rsidRPr="002F576D" w:rsidRDefault="00AC3704" w:rsidP="00DE7C76">
            <w:pPr>
              <w:autoSpaceDE w:val="0"/>
              <w:autoSpaceDN w:val="0"/>
              <w:adjustRightInd w:val="0"/>
              <w:ind w:left="60" w:right="60"/>
              <w:jc w:val="center"/>
              <w:rPr>
                <w:color w:val="000000"/>
              </w:rPr>
            </w:pPr>
            <w:r w:rsidRPr="002F576D">
              <w:rPr>
                <w:color w:val="000000"/>
              </w:rPr>
              <w:t>.007</w:t>
            </w:r>
          </w:p>
        </w:tc>
        <w:tc>
          <w:tcPr>
            <w:tcW w:w="1030" w:type="dxa"/>
            <w:shd w:val="clear" w:color="auto" w:fill="FFFFFF"/>
            <w:vAlign w:val="center"/>
          </w:tcPr>
          <w:p w14:paraId="29FA1591" w14:textId="77777777" w:rsidR="00AC3704" w:rsidRPr="002F576D" w:rsidRDefault="00AC3704" w:rsidP="00DE7C76">
            <w:pPr>
              <w:autoSpaceDE w:val="0"/>
              <w:autoSpaceDN w:val="0"/>
              <w:adjustRightInd w:val="0"/>
              <w:ind w:left="60" w:right="60"/>
              <w:jc w:val="center"/>
              <w:rPr>
                <w:color w:val="000000"/>
              </w:rPr>
            </w:pPr>
            <w:r w:rsidRPr="002F576D">
              <w:rPr>
                <w:color w:val="000000"/>
              </w:rPr>
              <w:t>.095</w:t>
            </w:r>
          </w:p>
        </w:tc>
        <w:tc>
          <w:tcPr>
            <w:tcW w:w="1030" w:type="dxa"/>
            <w:shd w:val="clear" w:color="auto" w:fill="FFFFFF"/>
            <w:vAlign w:val="center"/>
          </w:tcPr>
          <w:p w14:paraId="7A1A246E" w14:textId="77777777" w:rsidR="00AC3704" w:rsidRPr="002F576D" w:rsidRDefault="00AC3704" w:rsidP="00DE7C76">
            <w:pPr>
              <w:autoSpaceDE w:val="0"/>
              <w:autoSpaceDN w:val="0"/>
              <w:adjustRightInd w:val="0"/>
              <w:ind w:left="60" w:right="60"/>
              <w:jc w:val="center"/>
              <w:rPr>
                <w:color w:val="000000"/>
              </w:rPr>
            </w:pPr>
            <w:r w:rsidRPr="002F576D">
              <w:rPr>
                <w:color w:val="000000"/>
              </w:rPr>
              <w:t>.012</w:t>
            </w:r>
          </w:p>
        </w:tc>
        <w:tc>
          <w:tcPr>
            <w:tcW w:w="1030" w:type="dxa"/>
            <w:shd w:val="clear" w:color="auto" w:fill="FFFFFF"/>
            <w:vAlign w:val="center"/>
          </w:tcPr>
          <w:p w14:paraId="57F4781C" w14:textId="77777777" w:rsidR="00AC3704" w:rsidRPr="002F576D" w:rsidRDefault="00AC3704" w:rsidP="00DE7C76">
            <w:pPr>
              <w:autoSpaceDE w:val="0"/>
              <w:autoSpaceDN w:val="0"/>
              <w:adjustRightInd w:val="0"/>
              <w:ind w:left="60" w:right="60"/>
              <w:jc w:val="center"/>
              <w:rPr>
                <w:color w:val="000000"/>
              </w:rPr>
            </w:pPr>
            <w:r w:rsidRPr="002F576D">
              <w:rPr>
                <w:color w:val="000000"/>
              </w:rPr>
              <w:t>.298</w:t>
            </w:r>
          </w:p>
        </w:tc>
        <w:tc>
          <w:tcPr>
            <w:tcW w:w="1030" w:type="dxa"/>
            <w:shd w:val="clear" w:color="auto" w:fill="FFFFFF"/>
            <w:vAlign w:val="center"/>
          </w:tcPr>
          <w:p w14:paraId="58B0B698" w14:textId="77777777" w:rsidR="00AC3704" w:rsidRPr="002F576D" w:rsidRDefault="00AC3704" w:rsidP="00DE7C76">
            <w:pPr>
              <w:autoSpaceDE w:val="0"/>
              <w:autoSpaceDN w:val="0"/>
              <w:adjustRightInd w:val="0"/>
              <w:ind w:left="60" w:right="60"/>
              <w:jc w:val="center"/>
              <w:rPr>
                <w:color w:val="000000"/>
              </w:rPr>
            </w:pPr>
            <w:r w:rsidRPr="002F576D">
              <w:rPr>
                <w:color w:val="000000"/>
              </w:rPr>
              <w:t>.746</w:t>
            </w:r>
          </w:p>
        </w:tc>
        <w:tc>
          <w:tcPr>
            <w:tcW w:w="1030" w:type="dxa"/>
            <w:shd w:val="clear" w:color="auto" w:fill="FFFFFF"/>
            <w:vAlign w:val="center"/>
          </w:tcPr>
          <w:p w14:paraId="0E59B8B1" w14:textId="77777777" w:rsidR="00AC3704" w:rsidRPr="002F576D" w:rsidRDefault="00AC3704" w:rsidP="00DE7C76">
            <w:pPr>
              <w:autoSpaceDE w:val="0"/>
              <w:autoSpaceDN w:val="0"/>
              <w:adjustRightInd w:val="0"/>
              <w:ind w:left="60" w:right="60"/>
              <w:jc w:val="center"/>
              <w:rPr>
                <w:color w:val="000000"/>
              </w:rPr>
            </w:pPr>
            <w:r w:rsidRPr="002F576D">
              <w:rPr>
                <w:color w:val="000000"/>
              </w:rPr>
              <w:t>.106</w:t>
            </w:r>
          </w:p>
        </w:tc>
      </w:tr>
      <w:tr w:rsidR="00AC3704" w:rsidRPr="002F576D" w14:paraId="694BA297" w14:textId="77777777" w:rsidTr="00DE7C76">
        <w:trPr>
          <w:cantSplit/>
          <w:jc w:val="center"/>
        </w:trPr>
        <w:tc>
          <w:tcPr>
            <w:tcW w:w="737" w:type="dxa"/>
            <w:shd w:val="clear" w:color="auto" w:fill="FFFFFF"/>
            <w:vAlign w:val="center"/>
          </w:tcPr>
          <w:p w14:paraId="162979F3" w14:textId="77777777" w:rsidR="00AC3704" w:rsidRPr="002F576D" w:rsidRDefault="00AC3704" w:rsidP="00DE7C76">
            <w:pPr>
              <w:autoSpaceDE w:val="0"/>
              <w:autoSpaceDN w:val="0"/>
              <w:adjustRightInd w:val="0"/>
              <w:ind w:left="60" w:right="60"/>
              <w:jc w:val="center"/>
              <w:rPr>
                <w:color w:val="000000"/>
              </w:rPr>
            </w:pPr>
            <w:r w:rsidRPr="002F576D">
              <w:rPr>
                <w:color w:val="000000"/>
              </w:rPr>
              <w:t>I20</w:t>
            </w:r>
          </w:p>
        </w:tc>
        <w:tc>
          <w:tcPr>
            <w:tcW w:w="1030" w:type="dxa"/>
            <w:shd w:val="clear" w:color="auto" w:fill="FFFFFF"/>
            <w:vAlign w:val="center"/>
          </w:tcPr>
          <w:p w14:paraId="50380DA8" w14:textId="77777777" w:rsidR="00AC3704" w:rsidRPr="002F576D" w:rsidRDefault="00AC3704" w:rsidP="00DE7C76">
            <w:pPr>
              <w:autoSpaceDE w:val="0"/>
              <w:autoSpaceDN w:val="0"/>
              <w:adjustRightInd w:val="0"/>
              <w:ind w:left="60" w:right="60"/>
              <w:jc w:val="center"/>
              <w:rPr>
                <w:color w:val="000000"/>
              </w:rPr>
            </w:pPr>
            <w:r w:rsidRPr="002F576D">
              <w:rPr>
                <w:color w:val="000000"/>
              </w:rPr>
              <w:t>.083</w:t>
            </w:r>
          </w:p>
        </w:tc>
        <w:tc>
          <w:tcPr>
            <w:tcW w:w="1030" w:type="dxa"/>
            <w:shd w:val="clear" w:color="auto" w:fill="FFFFFF"/>
            <w:vAlign w:val="center"/>
          </w:tcPr>
          <w:p w14:paraId="1170D095" w14:textId="77777777" w:rsidR="00AC3704" w:rsidRPr="002F576D" w:rsidRDefault="00AC3704" w:rsidP="00DE7C76">
            <w:pPr>
              <w:autoSpaceDE w:val="0"/>
              <w:autoSpaceDN w:val="0"/>
              <w:adjustRightInd w:val="0"/>
              <w:ind w:left="60" w:right="60"/>
              <w:jc w:val="center"/>
              <w:rPr>
                <w:color w:val="000000"/>
              </w:rPr>
            </w:pPr>
            <w:r w:rsidRPr="002F576D">
              <w:rPr>
                <w:color w:val="000000"/>
              </w:rPr>
              <w:t>.360</w:t>
            </w:r>
          </w:p>
        </w:tc>
        <w:tc>
          <w:tcPr>
            <w:tcW w:w="1030" w:type="dxa"/>
            <w:shd w:val="clear" w:color="auto" w:fill="FFFFFF"/>
            <w:vAlign w:val="center"/>
          </w:tcPr>
          <w:p w14:paraId="2FFEA2D8" w14:textId="77777777" w:rsidR="00AC3704" w:rsidRPr="002F576D" w:rsidRDefault="00AC3704" w:rsidP="00DE7C76">
            <w:pPr>
              <w:autoSpaceDE w:val="0"/>
              <w:autoSpaceDN w:val="0"/>
              <w:adjustRightInd w:val="0"/>
              <w:ind w:left="60" w:right="60"/>
              <w:jc w:val="center"/>
              <w:rPr>
                <w:color w:val="000000"/>
              </w:rPr>
            </w:pPr>
            <w:r w:rsidRPr="002F576D">
              <w:rPr>
                <w:color w:val="000000"/>
              </w:rPr>
              <w:t>.362</w:t>
            </w:r>
          </w:p>
        </w:tc>
        <w:tc>
          <w:tcPr>
            <w:tcW w:w="1030" w:type="dxa"/>
            <w:shd w:val="clear" w:color="auto" w:fill="FFFFFF"/>
            <w:vAlign w:val="center"/>
          </w:tcPr>
          <w:p w14:paraId="56BA1395" w14:textId="77777777" w:rsidR="00AC3704" w:rsidRPr="002F576D" w:rsidRDefault="00AC3704" w:rsidP="00DE7C76">
            <w:pPr>
              <w:autoSpaceDE w:val="0"/>
              <w:autoSpaceDN w:val="0"/>
              <w:adjustRightInd w:val="0"/>
              <w:ind w:left="60" w:right="60"/>
              <w:jc w:val="center"/>
              <w:rPr>
                <w:color w:val="000000"/>
              </w:rPr>
            </w:pPr>
            <w:r w:rsidRPr="002F576D">
              <w:rPr>
                <w:color w:val="000000"/>
              </w:rPr>
              <w:t>-.160</w:t>
            </w:r>
          </w:p>
        </w:tc>
        <w:tc>
          <w:tcPr>
            <w:tcW w:w="1030" w:type="dxa"/>
            <w:shd w:val="clear" w:color="auto" w:fill="FFFFFF"/>
            <w:vAlign w:val="center"/>
          </w:tcPr>
          <w:p w14:paraId="3B8E102C" w14:textId="77777777" w:rsidR="00AC3704" w:rsidRPr="002F576D" w:rsidRDefault="00AC3704" w:rsidP="00DE7C76">
            <w:pPr>
              <w:autoSpaceDE w:val="0"/>
              <w:autoSpaceDN w:val="0"/>
              <w:adjustRightInd w:val="0"/>
              <w:ind w:left="60" w:right="60"/>
              <w:jc w:val="center"/>
              <w:rPr>
                <w:color w:val="000000"/>
              </w:rPr>
            </w:pPr>
            <w:r w:rsidRPr="002F576D">
              <w:rPr>
                <w:color w:val="000000"/>
              </w:rPr>
              <w:t>.706</w:t>
            </w:r>
          </w:p>
        </w:tc>
        <w:tc>
          <w:tcPr>
            <w:tcW w:w="1030" w:type="dxa"/>
            <w:shd w:val="clear" w:color="auto" w:fill="FFFFFF"/>
            <w:vAlign w:val="center"/>
          </w:tcPr>
          <w:p w14:paraId="540F480B" w14:textId="77777777" w:rsidR="00AC3704" w:rsidRPr="002F576D" w:rsidRDefault="00AC3704" w:rsidP="00DE7C76">
            <w:pPr>
              <w:autoSpaceDE w:val="0"/>
              <w:autoSpaceDN w:val="0"/>
              <w:adjustRightInd w:val="0"/>
              <w:ind w:left="60" w:right="60"/>
              <w:jc w:val="center"/>
              <w:rPr>
                <w:color w:val="000000"/>
              </w:rPr>
            </w:pPr>
            <w:r w:rsidRPr="002F576D">
              <w:rPr>
                <w:color w:val="000000"/>
              </w:rPr>
              <w:t>.135</w:t>
            </w:r>
          </w:p>
        </w:tc>
      </w:tr>
      <w:tr w:rsidR="00AC3704" w:rsidRPr="002F576D" w14:paraId="19875C71" w14:textId="77777777" w:rsidTr="00DE7C76">
        <w:trPr>
          <w:cantSplit/>
          <w:jc w:val="center"/>
        </w:trPr>
        <w:tc>
          <w:tcPr>
            <w:tcW w:w="737" w:type="dxa"/>
            <w:shd w:val="clear" w:color="auto" w:fill="FFFFFF"/>
            <w:vAlign w:val="center"/>
          </w:tcPr>
          <w:p w14:paraId="15A95778" w14:textId="77777777" w:rsidR="00AC3704" w:rsidRPr="002F576D" w:rsidRDefault="00AC3704" w:rsidP="00DE7C76">
            <w:pPr>
              <w:autoSpaceDE w:val="0"/>
              <w:autoSpaceDN w:val="0"/>
              <w:adjustRightInd w:val="0"/>
              <w:ind w:left="60" w:right="60"/>
              <w:jc w:val="center"/>
              <w:rPr>
                <w:color w:val="000000"/>
              </w:rPr>
            </w:pPr>
            <w:r w:rsidRPr="002F576D">
              <w:rPr>
                <w:color w:val="000000"/>
              </w:rPr>
              <w:t>I22</w:t>
            </w:r>
          </w:p>
        </w:tc>
        <w:tc>
          <w:tcPr>
            <w:tcW w:w="1030" w:type="dxa"/>
            <w:shd w:val="clear" w:color="auto" w:fill="FFFFFF"/>
            <w:vAlign w:val="center"/>
          </w:tcPr>
          <w:p w14:paraId="1C8D5D8E" w14:textId="77777777" w:rsidR="00AC3704" w:rsidRPr="002F576D" w:rsidRDefault="00AC3704" w:rsidP="00DE7C76">
            <w:pPr>
              <w:autoSpaceDE w:val="0"/>
              <w:autoSpaceDN w:val="0"/>
              <w:adjustRightInd w:val="0"/>
              <w:ind w:left="60" w:right="60"/>
              <w:jc w:val="center"/>
              <w:rPr>
                <w:color w:val="000000"/>
              </w:rPr>
            </w:pPr>
            <w:r w:rsidRPr="002F576D">
              <w:rPr>
                <w:color w:val="000000"/>
              </w:rPr>
              <w:t>.257</w:t>
            </w:r>
          </w:p>
        </w:tc>
        <w:tc>
          <w:tcPr>
            <w:tcW w:w="1030" w:type="dxa"/>
            <w:shd w:val="clear" w:color="auto" w:fill="FFFFFF"/>
            <w:vAlign w:val="center"/>
          </w:tcPr>
          <w:p w14:paraId="764AC495" w14:textId="77777777" w:rsidR="00AC3704" w:rsidRPr="002F576D" w:rsidRDefault="00AC3704" w:rsidP="00DE7C76">
            <w:pPr>
              <w:autoSpaceDE w:val="0"/>
              <w:autoSpaceDN w:val="0"/>
              <w:adjustRightInd w:val="0"/>
              <w:ind w:left="60" w:right="60"/>
              <w:jc w:val="center"/>
              <w:rPr>
                <w:color w:val="000000"/>
              </w:rPr>
            </w:pPr>
            <w:r w:rsidRPr="002F576D">
              <w:rPr>
                <w:color w:val="000000"/>
              </w:rPr>
              <w:t>-.007</w:t>
            </w:r>
          </w:p>
        </w:tc>
        <w:tc>
          <w:tcPr>
            <w:tcW w:w="1030" w:type="dxa"/>
            <w:shd w:val="clear" w:color="auto" w:fill="FFFFFF"/>
            <w:vAlign w:val="center"/>
          </w:tcPr>
          <w:p w14:paraId="2D648A95" w14:textId="77777777" w:rsidR="00AC3704" w:rsidRPr="002F576D" w:rsidRDefault="00AC3704" w:rsidP="00DE7C76">
            <w:pPr>
              <w:autoSpaceDE w:val="0"/>
              <w:autoSpaceDN w:val="0"/>
              <w:adjustRightInd w:val="0"/>
              <w:ind w:left="60" w:right="60"/>
              <w:jc w:val="center"/>
              <w:rPr>
                <w:color w:val="000000"/>
              </w:rPr>
            </w:pPr>
            <w:r w:rsidRPr="002F576D">
              <w:rPr>
                <w:color w:val="000000"/>
              </w:rPr>
              <w:t>.222</w:t>
            </w:r>
          </w:p>
        </w:tc>
        <w:tc>
          <w:tcPr>
            <w:tcW w:w="1030" w:type="dxa"/>
            <w:shd w:val="clear" w:color="auto" w:fill="FFFFFF"/>
            <w:vAlign w:val="center"/>
          </w:tcPr>
          <w:p w14:paraId="052532C0" w14:textId="77777777" w:rsidR="00AC3704" w:rsidRPr="002F576D" w:rsidRDefault="00AC3704" w:rsidP="00DE7C76">
            <w:pPr>
              <w:autoSpaceDE w:val="0"/>
              <w:autoSpaceDN w:val="0"/>
              <w:adjustRightInd w:val="0"/>
              <w:ind w:left="60" w:right="60"/>
              <w:jc w:val="center"/>
              <w:rPr>
                <w:color w:val="000000"/>
              </w:rPr>
            </w:pPr>
            <w:r w:rsidRPr="002F576D">
              <w:rPr>
                <w:color w:val="000000"/>
              </w:rPr>
              <w:t>.216</w:t>
            </w:r>
          </w:p>
        </w:tc>
        <w:tc>
          <w:tcPr>
            <w:tcW w:w="1030" w:type="dxa"/>
            <w:shd w:val="clear" w:color="auto" w:fill="FFFFFF"/>
            <w:vAlign w:val="center"/>
          </w:tcPr>
          <w:p w14:paraId="7F18A133" w14:textId="77777777" w:rsidR="00AC3704" w:rsidRPr="002F576D" w:rsidRDefault="00AC3704" w:rsidP="00DE7C76">
            <w:pPr>
              <w:autoSpaceDE w:val="0"/>
              <w:autoSpaceDN w:val="0"/>
              <w:adjustRightInd w:val="0"/>
              <w:ind w:left="60" w:right="60"/>
              <w:jc w:val="center"/>
              <w:rPr>
                <w:color w:val="000000"/>
              </w:rPr>
            </w:pPr>
            <w:r w:rsidRPr="002F576D">
              <w:rPr>
                <w:color w:val="000000"/>
              </w:rPr>
              <w:t>.687</w:t>
            </w:r>
          </w:p>
        </w:tc>
        <w:tc>
          <w:tcPr>
            <w:tcW w:w="1030" w:type="dxa"/>
            <w:shd w:val="clear" w:color="auto" w:fill="FFFFFF"/>
            <w:vAlign w:val="center"/>
          </w:tcPr>
          <w:p w14:paraId="6EED1D3B" w14:textId="77777777" w:rsidR="00AC3704" w:rsidRPr="002F576D" w:rsidRDefault="00AC3704" w:rsidP="00DE7C76">
            <w:pPr>
              <w:autoSpaceDE w:val="0"/>
              <w:autoSpaceDN w:val="0"/>
              <w:adjustRightInd w:val="0"/>
              <w:ind w:left="60" w:right="60"/>
              <w:jc w:val="center"/>
              <w:rPr>
                <w:color w:val="000000"/>
              </w:rPr>
            </w:pPr>
            <w:r w:rsidRPr="002F576D">
              <w:rPr>
                <w:color w:val="000000"/>
              </w:rPr>
              <w:t>.213</w:t>
            </w:r>
          </w:p>
        </w:tc>
      </w:tr>
      <w:tr w:rsidR="00AC3704" w:rsidRPr="002F576D" w14:paraId="198DD85E" w14:textId="77777777" w:rsidTr="00DE7C76">
        <w:trPr>
          <w:cantSplit/>
          <w:jc w:val="center"/>
        </w:trPr>
        <w:tc>
          <w:tcPr>
            <w:tcW w:w="737" w:type="dxa"/>
            <w:shd w:val="clear" w:color="auto" w:fill="FFFFFF"/>
            <w:vAlign w:val="center"/>
          </w:tcPr>
          <w:p w14:paraId="78F22633" w14:textId="77777777" w:rsidR="00AC3704" w:rsidRPr="002F576D" w:rsidRDefault="00AC3704" w:rsidP="00DE7C76">
            <w:pPr>
              <w:autoSpaceDE w:val="0"/>
              <w:autoSpaceDN w:val="0"/>
              <w:adjustRightInd w:val="0"/>
              <w:ind w:left="60" w:right="60"/>
              <w:jc w:val="center"/>
              <w:rPr>
                <w:color w:val="000000"/>
              </w:rPr>
            </w:pPr>
            <w:r w:rsidRPr="002F576D">
              <w:rPr>
                <w:color w:val="000000"/>
              </w:rPr>
              <w:t>I14</w:t>
            </w:r>
          </w:p>
        </w:tc>
        <w:tc>
          <w:tcPr>
            <w:tcW w:w="1030" w:type="dxa"/>
            <w:shd w:val="clear" w:color="auto" w:fill="FFFFFF"/>
            <w:vAlign w:val="center"/>
          </w:tcPr>
          <w:p w14:paraId="7CB079D8" w14:textId="77777777" w:rsidR="00AC3704" w:rsidRPr="002F576D" w:rsidRDefault="00AC3704" w:rsidP="00DE7C76">
            <w:pPr>
              <w:autoSpaceDE w:val="0"/>
              <w:autoSpaceDN w:val="0"/>
              <w:adjustRightInd w:val="0"/>
              <w:ind w:left="60" w:right="60"/>
              <w:jc w:val="center"/>
              <w:rPr>
                <w:color w:val="000000"/>
              </w:rPr>
            </w:pPr>
            <w:r w:rsidRPr="002F576D">
              <w:rPr>
                <w:color w:val="000000"/>
              </w:rPr>
              <w:t>.068</w:t>
            </w:r>
          </w:p>
        </w:tc>
        <w:tc>
          <w:tcPr>
            <w:tcW w:w="1030" w:type="dxa"/>
            <w:shd w:val="clear" w:color="auto" w:fill="FFFFFF"/>
            <w:vAlign w:val="center"/>
          </w:tcPr>
          <w:p w14:paraId="193F5579" w14:textId="77777777" w:rsidR="00AC3704" w:rsidRPr="002F576D" w:rsidRDefault="00AC3704" w:rsidP="00DE7C76">
            <w:pPr>
              <w:autoSpaceDE w:val="0"/>
              <w:autoSpaceDN w:val="0"/>
              <w:adjustRightInd w:val="0"/>
              <w:ind w:left="60" w:right="60"/>
              <w:jc w:val="center"/>
              <w:rPr>
                <w:color w:val="000000"/>
              </w:rPr>
            </w:pPr>
            <w:r w:rsidRPr="002F576D">
              <w:rPr>
                <w:color w:val="000000"/>
              </w:rPr>
              <w:t>-.030</w:t>
            </w:r>
          </w:p>
        </w:tc>
        <w:tc>
          <w:tcPr>
            <w:tcW w:w="1030" w:type="dxa"/>
            <w:shd w:val="clear" w:color="auto" w:fill="FFFFFF"/>
            <w:vAlign w:val="center"/>
          </w:tcPr>
          <w:p w14:paraId="2DBEBC21" w14:textId="77777777" w:rsidR="00AC3704" w:rsidRPr="002F576D" w:rsidRDefault="00AC3704" w:rsidP="00DE7C76">
            <w:pPr>
              <w:autoSpaceDE w:val="0"/>
              <w:autoSpaceDN w:val="0"/>
              <w:adjustRightInd w:val="0"/>
              <w:ind w:left="60" w:right="60"/>
              <w:jc w:val="center"/>
              <w:rPr>
                <w:color w:val="000000"/>
              </w:rPr>
            </w:pPr>
            <w:r w:rsidRPr="002F576D">
              <w:rPr>
                <w:color w:val="000000"/>
              </w:rPr>
              <w:t>.101</w:t>
            </w:r>
          </w:p>
        </w:tc>
        <w:tc>
          <w:tcPr>
            <w:tcW w:w="1030" w:type="dxa"/>
            <w:shd w:val="clear" w:color="auto" w:fill="FFFFFF"/>
            <w:vAlign w:val="center"/>
          </w:tcPr>
          <w:p w14:paraId="0944082C" w14:textId="77777777" w:rsidR="00AC3704" w:rsidRPr="002F576D" w:rsidRDefault="00AC3704" w:rsidP="00DE7C76">
            <w:pPr>
              <w:autoSpaceDE w:val="0"/>
              <w:autoSpaceDN w:val="0"/>
              <w:adjustRightInd w:val="0"/>
              <w:ind w:left="60" w:right="60"/>
              <w:jc w:val="center"/>
              <w:rPr>
                <w:color w:val="000000"/>
              </w:rPr>
            </w:pPr>
            <w:r w:rsidRPr="002F576D">
              <w:rPr>
                <w:color w:val="000000"/>
              </w:rPr>
              <w:t>.119</w:t>
            </w:r>
          </w:p>
        </w:tc>
        <w:tc>
          <w:tcPr>
            <w:tcW w:w="1030" w:type="dxa"/>
            <w:shd w:val="clear" w:color="auto" w:fill="FFFFFF"/>
            <w:vAlign w:val="center"/>
          </w:tcPr>
          <w:p w14:paraId="11FA2CB8" w14:textId="77777777" w:rsidR="00AC3704" w:rsidRPr="002F576D" w:rsidRDefault="00AC3704" w:rsidP="00DE7C76">
            <w:pPr>
              <w:autoSpaceDE w:val="0"/>
              <w:autoSpaceDN w:val="0"/>
              <w:adjustRightInd w:val="0"/>
              <w:ind w:left="60" w:right="60"/>
              <w:jc w:val="center"/>
              <w:rPr>
                <w:color w:val="000000"/>
              </w:rPr>
            </w:pPr>
            <w:r w:rsidRPr="002F576D">
              <w:rPr>
                <w:color w:val="000000"/>
              </w:rPr>
              <w:t>.147</w:t>
            </w:r>
          </w:p>
        </w:tc>
        <w:tc>
          <w:tcPr>
            <w:tcW w:w="1030" w:type="dxa"/>
            <w:shd w:val="clear" w:color="auto" w:fill="FFFFFF"/>
            <w:vAlign w:val="center"/>
          </w:tcPr>
          <w:p w14:paraId="4592532E" w14:textId="77777777" w:rsidR="00AC3704" w:rsidRPr="002F576D" w:rsidRDefault="00AC3704" w:rsidP="00DE7C76">
            <w:pPr>
              <w:autoSpaceDE w:val="0"/>
              <w:autoSpaceDN w:val="0"/>
              <w:adjustRightInd w:val="0"/>
              <w:ind w:left="60" w:right="60"/>
              <w:jc w:val="center"/>
              <w:rPr>
                <w:color w:val="000000"/>
              </w:rPr>
            </w:pPr>
            <w:r w:rsidRPr="002F576D">
              <w:rPr>
                <w:color w:val="000000"/>
              </w:rPr>
              <w:t>.924</w:t>
            </w:r>
          </w:p>
        </w:tc>
      </w:tr>
      <w:tr w:rsidR="00AC3704" w:rsidRPr="002F576D" w14:paraId="238460AA" w14:textId="77777777" w:rsidTr="00DE7C76">
        <w:trPr>
          <w:cantSplit/>
          <w:jc w:val="center"/>
        </w:trPr>
        <w:tc>
          <w:tcPr>
            <w:tcW w:w="737" w:type="dxa"/>
            <w:shd w:val="clear" w:color="auto" w:fill="FFFFFF"/>
            <w:vAlign w:val="center"/>
          </w:tcPr>
          <w:p w14:paraId="71B23AA7" w14:textId="77777777" w:rsidR="00AC3704" w:rsidRPr="002F576D" w:rsidRDefault="00AC3704" w:rsidP="00DE7C76">
            <w:pPr>
              <w:autoSpaceDE w:val="0"/>
              <w:autoSpaceDN w:val="0"/>
              <w:adjustRightInd w:val="0"/>
              <w:ind w:left="60" w:right="60"/>
              <w:jc w:val="center"/>
              <w:rPr>
                <w:color w:val="000000"/>
              </w:rPr>
            </w:pPr>
            <w:r w:rsidRPr="002F576D">
              <w:rPr>
                <w:color w:val="000000"/>
              </w:rPr>
              <w:t>I15</w:t>
            </w:r>
          </w:p>
        </w:tc>
        <w:tc>
          <w:tcPr>
            <w:tcW w:w="1030" w:type="dxa"/>
            <w:shd w:val="clear" w:color="auto" w:fill="FFFFFF"/>
            <w:vAlign w:val="center"/>
          </w:tcPr>
          <w:p w14:paraId="5D8114D3" w14:textId="77777777" w:rsidR="00AC3704" w:rsidRPr="002F576D" w:rsidRDefault="00AC3704" w:rsidP="00DE7C76">
            <w:pPr>
              <w:autoSpaceDE w:val="0"/>
              <w:autoSpaceDN w:val="0"/>
              <w:adjustRightInd w:val="0"/>
              <w:ind w:left="60" w:right="60"/>
              <w:jc w:val="center"/>
              <w:rPr>
                <w:color w:val="000000"/>
              </w:rPr>
            </w:pPr>
            <w:r w:rsidRPr="002F576D">
              <w:rPr>
                <w:color w:val="000000"/>
              </w:rPr>
              <w:t>-.041</w:t>
            </w:r>
          </w:p>
        </w:tc>
        <w:tc>
          <w:tcPr>
            <w:tcW w:w="1030" w:type="dxa"/>
            <w:shd w:val="clear" w:color="auto" w:fill="FFFFFF"/>
            <w:vAlign w:val="center"/>
          </w:tcPr>
          <w:p w14:paraId="3C08BBBE" w14:textId="77777777" w:rsidR="00AC3704" w:rsidRPr="002F576D" w:rsidRDefault="00AC3704" w:rsidP="00DE7C76">
            <w:pPr>
              <w:autoSpaceDE w:val="0"/>
              <w:autoSpaceDN w:val="0"/>
              <w:adjustRightInd w:val="0"/>
              <w:ind w:left="60" w:right="60"/>
              <w:jc w:val="center"/>
              <w:rPr>
                <w:color w:val="000000"/>
              </w:rPr>
            </w:pPr>
            <w:r w:rsidRPr="002F576D">
              <w:rPr>
                <w:color w:val="000000"/>
              </w:rPr>
              <w:t>.010</w:t>
            </w:r>
          </w:p>
        </w:tc>
        <w:tc>
          <w:tcPr>
            <w:tcW w:w="1030" w:type="dxa"/>
            <w:shd w:val="clear" w:color="auto" w:fill="FFFFFF"/>
            <w:vAlign w:val="center"/>
          </w:tcPr>
          <w:p w14:paraId="361740BD" w14:textId="77777777" w:rsidR="00AC3704" w:rsidRPr="002F576D" w:rsidRDefault="00AC3704" w:rsidP="00DE7C76">
            <w:pPr>
              <w:autoSpaceDE w:val="0"/>
              <w:autoSpaceDN w:val="0"/>
              <w:adjustRightInd w:val="0"/>
              <w:ind w:left="60" w:right="60"/>
              <w:jc w:val="center"/>
              <w:rPr>
                <w:color w:val="000000"/>
              </w:rPr>
            </w:pPr>
            <w:r w:rsidRPr="002F576D">
              <w:rPr>
                <w:color w:val="000000"/>
              </w:rPr>
              <w:t>.276</w:t>
            </w:r>
          </w:p>
        </w:tc>
        <w:tc>
          <w:tcPr>
            <w:tcW w:w="1030" w:type="dxa"/>
            <w:shd w:val="clear" w:color="auto" w:fill="FFFFFF"/>
            <w:vAlign w:val="center"/>
          </w:tcPr>
          <w:p w14:paraId="351B6EE6" w14:textId="77777777" w:rsidR="00AC3704" w:rsidRPr="002F576D" w:rsidRDefault="00AC3704" w:rsidP="00DE7C76">
            <w:pPr>
              <w:autoSpaceDE w:val="0"/>
              <w:autoSpaceDN w:val="0"/>
              <w:adjustRightInd w:val="0"/>
              <w:ind w:left="60" w:right="60"/>
              <w:jc w:val="center"/>
              <w:rPr>
                <w:color w:val="000000"/>
              </w:rPr>
            </w:pPr>
            <w:r w:rsidRPr="002F576D">
              <w:rPr>
                <w:color w:val="000000"/>
              </w:rPr>
              <w:t>-.019</w:t>
            </w:r>
          </w:p>
        </w:tc>
        <w:tc>
          <w:tcPr>
            <w:tcW w:w="1030" w:type="dxa"/>
            <w:shd w:val="clear" w:color="auto" w:fill="FFFFFF"/>
            <w:vAlign w:val="center"/>
          </w:tcPr>
          <w:p w14:paraId="787A3808" w14:textId="77777777" w:rsidR="00AC3704" w:rsidRPr="002F576D" w:rsidRDefault="00AC3704" w:rsidP="00DE7C76">
            <w:pPr>
              <w:autoSpaceDE w:val="0"/>
              <w:autoSpaceDN w:val="0"/>
              <w:adjustRightInd w:val="0"/>
              <w:ind w:left="60" w:right="60"/>
              <w:jc w:val="center"/>
              <w:rPr>
                <w:color w:val="000000"/>
              </w:rPr>
            </w:pPr>
            <w:r w:rsidRPr="002F576D">
              <w:rPr>
                <w:color w:val="000000"/>
              </w:rPr>
              <w:t>.214</w:t>
            </w:r>
          </w:p>
        </w:tc>
        <w:tc>
          <w:tcPr>
            <w:tcW w:w="1030" w:type="dxa"/>
            <w:shd w:val="clear" w:color="auto" w:fill="FFFFFF"/>
            <w:vAlign w:val="center"/>
          </w:tcPr>
          <w:p w14:paraId="03C479E1" w14:textId="77777777" w:rsidR="00AC3704" w:rsidRPr="002F576D" w:rsidRDefault="00AC3704" w:rsidP="00DE7C76">
            <w:pPr>
              <w:autoSpaceDE w:val="0"/>
              <w:autoSpaceDN w:val="0"/>
              <w:adjustRightInd w:val="0"/>
              <w:ind w:left="60" w:right="60"/>
              <w:jc w:val="center"/>
              <w:rPr>
                <w:color w:val="000000"/>
              </w:rPr>
            </w:pPr>
            <w:r w:rsidRPr="002F576D">
              <w:rPr>
                <w:color w:val="000000"/>
              </w:rPr>
              <w:t>.840</w:t>
            </w:r>
          </w:p>
        </w:tc>
      </w:tr>
      <w:tr w:rsidR="00AC3704" w:rsidRPr="002F576D" w14:paraId="23C611CE" w14:textId="77777777" w:rsidTr="00DE7C76">
        <w:trPr>
          <w:cantSplit/>
          <w:jc w:val="center"/>
        </w:trPr>
        <w:tc>
          <w:tcPr>
            <w:tcW w:w="737" w:type="dxa"/>
            <w:shd w:val="clear" w:color="auto" w:fill="FFFFFF"/>
            <w:vAlign w:val="center"/>
          </w:tcPr>
          <w:p w14:paraId="287D2EE1" w14:textId="77777777" w:rsidR="00AC3704" w:rsidRPr="002F576D" w:rsidRDefault="00AC3704" w:rsidP="00DE7C76">
            <w:pPr>
              <w:autoSpaceDE w:val="0"/>
              <w:autoSpaceDN w:val="0"/>
              <w:adjustRightInd w:val="0"/>
              <w:ind w:left="60" w:right="60"/>
              <w:jc w:val="center"/>
              <w:rPr>
                <w:color w:val="000000"/>
              </w:rPr>
            </w:pPr>
            <w:r w:rsidRPr="002F576D">
              <w:rPr>
                <w:color w:val="000000"/>
              </w:rPr>
              <w:t>I12</w:t>
            </w:r>
          </w:p>
        </w:tc>
        <w:tc>
          <w:tcPr>
            <w:tcW w:w="1030" w:type="dxa"/>
            <w:shd w:val="clear" w:color="auto" w:fill="FFFFFF"/>
            <w:vAlign w:val="center"/>
          </w:tcPr>
          <w:p w14:paraId="657C2E66" w14:textId="77777777" w:rsidR="00AC3704" w:rsidRPr="002F576D" w:rsidRDefault="00AC3704" w:rsidP="00DE7C76">
            <w:pPr>
              <w:autoSpaceDE w:val="0"/>
              <w:autoSpaceDN w:val="0"/>
              <w:adjustRightInd w:val="0"/>
              <w:ind w:left="60" w:right="60"/>
              <w:jc w:val="center"/>
              <w:rPr>
                <w:color w:val="000000"/>
              </w:rPr>
            </w:pPr>
            <w:r w:rsidRPr="002F576D">
              <w:rPr>
                <w:color w:val="000000"/>
              </w:rPr>
              <w:t>.242</w:t>
            </w:r>
          </w:p>
        </w:tc>
        <w:tc>
          <w:tcPr>
            <w:tcW w:w="1030" w:type="dxa"/>
            <w:shd w:val="clear" w:color="auto" w:fill="FFFFFF"/>
            <w:vAlign w:val="center"/>
          </w:tcPr>
          <w:p w14:paraId="680CF5E4" w14:textId="77777777" w:rsidR="00AC3704" w:rsidRPr="002F576D" w:rsidRDefault="00AC3704" w:rsidP="00DE7C76">
            <w:pPr>
              <w:autoSpaceDE w:val="0"/>
              <w:autoSpaceDN w:val="0"/>
              <w:adjustRightInd w:val="0"/>
              <w:ind w:left="60" w:right="60"/>
              <w:jc w:val="center"/>
              <w:rPr>
                <w:color w:val="000000"/>
              </w:rPr>
            </w:pPr>
            <w:r w:rsidRPr="002F576D">
              <w:rPr>
                <w:color w:val="000000"/>
              </w:rPr>
              <w:t>.317</w:t>
            </w:r>
          </w:p>
        </w:tc>
        <w:tc>
          <w:tcPr>
            <w:tcW w:w="1030" w:type="dxa"/>
            <w:shd w:val="clear" w:color="auto" w:fill="FFFFFF"/>
            <w:vAlign w:val="center"/>
          </w:tcPr>
          <w:p w14:paraId="544208D0" w14:textId="77777777" w:rsidR="00AC3704" w:rsidRPr="002F576D" w:rsidRDefault="00AC3704" w:rsidP="00DE7C76">
            <w:pPr>
              <w:autoSpaceDE w:val="0"/>
              <w:autoSpaceDN w:val="0"/>
              <w:adjustRightInd w:val="0"/>
              <w:ind w:left="60" w:right="60"/>
              <w:jc w:val="center"/>
              <w:rPr>
                <w:color w:val="000000"/>
              </w:rPr>
            </w:pPr>
            <w:r w:rsidRPr="002F576D">
              <w:rPr>
                <w:color w:val="000000"/>
              </w:rPr>
              <w:t>.360</w:t>
            </w:r>
          </w:p>
        </w:tc>
        <w:tc>
          <w:tcPr>
            <w:tcW w:w="1030" w:type="dxa"/>
            <w:shd w:val="clear" w:color="auto" w:fill="FFFFFF"/>
            <w:vAlign w:val="center"/>
          </w:tcPr>
          <w:p w14:paraId="0458FD5D" w14:textId="77777777" w:rsidR="00AC3704" w:rsidRPr="002F576D" w:rsidRDefault="00AC3704" w:rsidP="00DE7C76">
            <w:pPr>
              <w:autoSpaceDE w:val="0"/>
              <w:autoSpaceDN w:val="0"/>
              <w:adjustRightInd w:val="0"/>
              <w:ind w:left="60" w:right="60"/>
              <w:jc w:val="center"/>
              <w:rPr>
                <w:color w:val="000000"/>
              </w:rPr>
            </w:pPr>
            <w:r w:rsidRPr="002F576D">
              <w:rPr>
                <w:color w:val="000000"/>
              </w:rPr>
              <w:t>.283</w:t>
            </w:r>
          </w:p>
        </w:tc>
        <w:tc>
          <w:tcPr>
            <w:tcW w:w="1030" w:type="dxa"/>
            <w:shd w:val="clear" w:color="auto" w:fill="FFFFFF"/>
            <w:vAlign w:val="center"/>
          </w:tcPr>
          <w:p w14:paraId="64FC9E8B" w14:textId="77777777" w:rsidR="00AC3704" w:rsidRPr="002F576D" w:rsidRDefault="00AC3704" w:rsidP="00DE7C76">
            <w:pPr>
              <w:autoSpaceDE w:val="0"/>
              <w:autoSpaceDN w:val="0"/>
              <w:adjustRightInd w:val="0"/>
              <w:ind w:left="60" w:right="60"/>
              <w:jc w:val="center"/>
              <w:rPr>
                <w:color w:val="000000"/>
              </w:rPr>
            </w:pPr>
            <w:r w:rsidRPr="002F576D">
              <w:rPr>
                <w:color w:val="000000"/>
              </w:rPr>
              <w:t>.085</w:t>
            </w:r>
          </w:p>
        </w:tc>
        <w:tc>
          <w:tcPr>
            <w:tcW w:w="1030" w:type="dxa"/>
            <w:shd w:val="clear" w:color="auto" w:fill="FFFFFF"/>
            <w:vAlign w:val="center"/>
          </w:tcPr>
          <w:p w14:paraId="4A5B1875" w14:textId="77777777" w:rsidR="00AC3704" w:rsidRPr="002F576D" w:rsidRDefault="00AC3704" w:rsidP="00DE7C76">
            <w:pPr>
              <w:autoSpaceDE w:val="0"/>
              <w:autoSpaceDN w:val="0"/>
              <w:adjustRightInd w:val="0"/>
              <w:ind w:left="60" w:right="60"/>
              <w:jc w:val="center"/>
              <w:rPr>
                <w:color w:val="000000"/>
              </w:rPr>
            </w:pPr>
            <w:r w:rsidRPr="002F576D">
              <w:rPr>
                <w:color w:val="000000"/>
              </w:rPr>
              <w:t>.588</w:t>
            </w:r>
          </w:p>
        </w:tc>
      </w:tr>
      <w:tr w:rsidR="00AC3704" w:rsidRPr="002F576D" w14:paraId="07D9AF97" w14:textId="77777777" w:rsidTr="00DE7C76">
        <w:trPr>
          <w:cantSplit/>
          <w:jc w:val="center"/>
        </w:trPr>
        <w:tc>
          <w:tcPr>
            <w:tcW w:w="737" w:type="dxa"/>
            <w:shd w:val="clear" w:color="auto" w:fill="FFFFFF"/>
            <w:vAlign w:val="center"/>
          </w:tcPr>
          <w:p w14:paraId="00A5C263" w14:textId="77777777" w:rsidR="00AC3704" w:rsidRPr="002F576D" w:rsidRDefault="00AC3704" w:rsidP="00DE7C76">
            <w:pPr>
              <w:autoSpaceDE w:val="0"/>
              <w:autoSpaceDN w:val="0"/>
              <w:adjustRightInd w:val="0"/>
              <w:ind w:left="60" w:right="60"/>
              <w:jc w:val="center"/>
              <w:rPr>
                <w:color w:val="000000"/>
              </w:rPr>
            </w:pPr>
            <w:r w:rsidRPr="002F576D">
              <w:rPr>
                <w:color w:val="000000"/>
              </w:rPr>
              <w:t>I13</w:t>
            </w:r>
          </w:p>
        </w:tc>
        <w:tc>
          <w:tcPr>
            <w:tcW w:w="1030" w:type="dxa"/>
            <w:shd w:val="clear" w:color="auto" w:fill="FFFFFF"/>
            <w:vAlign w:val="center"/>
          </w:tcPr>
          <w:p w14:paraId="721F0C6E" w14:textId="77777777" w:rsidR="00AC3704" w:rsidRPr="002F576D" w:rsidRDefault="00AC3704" w:rsidP="00DE7C76">
            <w:pPr>
              <w:autoSpaceDE w:val="0"/>
              <w:autoSpaceDN w:val="0"/>
              <w:adjustRightInd w:val="0"/>
              <w:ind w:left="60" w:right="60"/>
              <w:jc w:val="center"/>
              <w:rPr>
                <w:color w:val="000000"/>
              </w:rPr>
            </w:pPr>
            <w:r w:rsidRPr="002F576D">
              <w:rPr>
                <w:color w:val="000000"/>
              </w:rPr>
              <w:t>.321</w:t>
            </w:r>
          </w:p>
        </w:tc>
        <w:tc>
          <w:tcPr>
            <w:tcW w:w="1030" w:type="dxa"/>
            <w:shd w:val="clear" w:color="auto" w:fill="FFFFFF"/>
            <w:vAlign w:val="center"/>
          </w:tcPr>
          <w:p w14:paraId="2C2CC835" w14:textId="77777777" w:rsidR="00AC3704" w:rsidRPr="002F576D" w:rsidRDefault="00AC3704" w:rsidP="00DE7C76">
            <w:pPr>
              <w:autoSpaceDE w:val="0"/>
              <w:autoSpaceDN w:val="0"/>
              <w:adjustRightInd w:val="0"/>
              <w:ind w:left="60" w:right="60"/>
              <w:jc w:val="center"/>
              <w:rPr>
                <w:color w:val="000000"/>
              </w:rPr>
            </w:pPr>
            <w:r w:rsidRPr="002F576D">
              <w:rPr>
                <w:color w:val="000000"/>
              </w:rPr>
              <w:t>.522</w:t>
            </w:r>
          </w:p>
        </w:tc>
        <w:tc>
          <w:tcPr>
            <w:tcW w:w="1030" w:type="dxa"/>
            <w:shd w:val="clear" w:color="auto" w:fill="FFFFFF"/>
            <w:vAlign w:val="center"/>
          </w:tcPr>
          <w:p w14:paraId="4D095C04" w14:textId="77777777" w:rsidR="00AC3704" w:rsidRPr="002F576D" w:rsidRDefault="00AC3704" w:rsidP="00DE7C76">
            <w:pPr>
              <w:autoSpaceDE w:val="0"/>
              <w:autoSpaceDN w:val="0"/>
              <w:adjustRightInd w:val="0"/>
              <w:ind w:left="60" w:right="60"/>
              <w:jc w:val="center"/>
              <w:rPr>
                <w:color w:val="000000"/>
              </w:rPr>
            </w:pPr>
            <w:r w:rsidRPr="002F576D">
              <w:rPr>
                <w:color w:val="000000"/>
              </w:rPr>
              <w:t>.132</w:t>
            </w:r>
          </w:p>
        </w:tc>
        <w:tc>
          <w:tcPr>
            <w:tcW w:w="1030" w:type="dxa"/>
            <w:shd w:val="clear" w:color="auto" w:fill="FFFFFF"/>
            <w:vAlign w:val="center"/>
          </w:tcPr>
          <w:p w14:paraId="7B1BD938" w14:textId="77777777" w:rsidR="00AC3704" w:rsidRPr="002F576D" w:rsidRDefault="00AC3704" w:rsidP="00DE7C76">
            <w:pPr>
              <w:autoSpaceDE w:val="0"/>
              <w:autoSpaceDN w:val="0"/>
              <w:adjustRightInd w:val="0"/>
              <w:ind w:left="60" w:right="60"/>
              <w:jc w:val="center"/>
              <w:rPr>
                <w:color w:val="000000"/>
              </w:rPr>
            </w:pPr>
            <w:r w:rsidRPr="002F576D">
              <w:rPr>
                <w:color w:val="000000"/>
              </w:rPr>
              <w:t>.247</w:t>
            </w:r>
          </w:p>
        </w:tc>
        <w:tc>
          <w:tcPr>
            <w:tcW w:w="1030" w:type="dxa"/>
            <w:shd w:val="clear" w:color="auto" w:fill="FFFFFF"/>
            <w:vAlign w:val="center"/>
          </w:tcPr>
          <w:p w14:paraId="76693C64" w14:textId="77777777" w:rsidR="00AC3704" w:rsidRPr="002F576D" w:rsidRDefault="00AC3704" w:rsidP="00DE7C76">
            <w:pPr>
              <w:autoSpaceDE w:val="0"/>
              <w:autoSpaceDN w:val="0"/>
              <w:adjustRightInd w:val="0"/>
              <w:ind w:left="60" w:right="60"/>
              <w:jc w:val="center"/>
              <w:rPr>
                <w:color w:val="000000"/>
              </w:rPr>
            </w:pPr>
            <w:r w:rsidRPr="002F576D">
              <w:rPr>
                <w:color w:val="000000"/>
              </w:rPr>
              <w:t>.195</w:t>
            </w:r>
          </w:p>
        </w:tc>
        <w:tc>
          <w:tcPr>
            <w:tcW w:w="1030" w:type="dxa"/>
            <w:shd w:val="clear" w:color="auto" w:fill="FFFFFF"/>
            <w:vAlign w:val="center"/>
          </w:tcPr>
          <w:p w14:paraId="3E3EBCB1" w14:textId="77777777" w:rsidR="00AC3704" w:rsidRPr="002F576D" w:rsidRDefault="00AC3704" w:rsidP="00DE7C76">
            <w:pPr>
              <w:autoSpaceDE w:val="0"/>
              <w:autoSpaceDN w:val="0"/>
              <w:adjustRightInd w:val="0"/>
              <w:ind w:left="60" w:right="60"/>
              <w:jc w:val="center"/>
              <w:rPr>
                <w:color w:val="000000"/>
              </w:rPr>
            </w:pPr>
            <w:r w:rsidRPr="002F576D">
              <w:rPr>
                <w:color w:val="000000"/>
              </w:rPr>
              <w:t>.540</w:t>
            </w:r>
          </w:p>
        </w:tc>
      </w:tr>
    </w:tbl>
    <w:p w14:paraId="4531ECCD" w14:textId="77777777" w:rsidR="00AC3704" w:rsidRPr="002F576D" w:rsidRDefault="00AC3704" w:rsidP="002F576D">
      <w:pPr>
        <w:spacing w:line="360" w:lineRule="auto"/>
        <w:jc w:val="center"/>
        <w:rPr>
          <w:lang w:val="es-ES"/>
        </w:rPr>
      </w:pPr>
      <w:r w:rsidRPr="002F576D">
        <w:rPr>
          <w:color w:val="000000"/>
        </w:rPr>
        <w:t>Nota: Método de extracción: análisis de componentes principales. Método de rotación: Varimax con normalización Kaiser.  La rotación ha convergido en 8 iteraciones</w:t>
      </w:r>
      <w:r w:rsidRPr="002F576D">
        <w:rPr>
          <w:lang w:val="es-ES"/>
        </w:rPr>
        <w:t xml:space="preserve">. </w:t>
      </w:r>
    </w:p>
    <w:p w14:paraId="354C21A2" w14:textId="1B3CE1FB" w:rsidR="00AC3704" w:rsidRPr="00CF0DDC" w:rsidRDefault="00AC3704" w:rsidP="002F576D">
      <w:pPr>
        <w:spacing w:line="360" w:lineRule="auto"/>
        <w:jc w:val="center"/>
        <w:rPr>
          <w:lang w:val="es-ES"/>
        </w:rPr>
      </w:pPr>
      <w:r w:rsidRPr="00AE5F15">
        <w:rPr>
          <w:lang w:val="es-ES"/>
        </w:rPr>
        <w:t>Fuente: Elaboración propia</w:t>
      </w:r>
    </w:p>
    <w:p w14:paraId="44B30710" w14:textId="172F6A4D" w:rsidR="00AC3704" w:rsidRPr="00CF0DDC" w:rsidRDefault="00AC3704" w:rsidP="002F576D">
      <w:pPr>
        <w:spacing w:line="360" w:lineRule="auto"/>
        <w:ind w:firstLine="708"/>
        <w:jc w:val="both"/>
        <w:rPr>
          <w:lang w:val="es-ES"/>
        </w:rPr>
      </w:pPr>
      <w:r w:rsidRPr="00CF0DDC">
        <w:rPr>
          <w:lang w:val="es-ES"/>
        </w:rPr>
        <w:t>En cuanto al análisis realizado, se identificaron seis componentes que integran la variable infraestructura, los cuales en conjunto explican el 74.320</w:t>
      </w:r>
      <w:r w:rsidRPr="00AE5F15">
        <w:rPr>
          <w:lang w:val="es-ES"/>
        </w:rPr>
        <w:t xml:space="preserve"> %</w:t>
      </w:r>
      <w:r w:rsidRPr="00CF0DDC">
        <w:rPr>
          <w:lang w:val="es-ES"/>
        </w:rPr>
        <w:t xml:space="preserve"> de la varianza. Dado que el porcentaje de varianza explicada es significativo y los componentes tienen pesos factoriales mayores a 0.40, así como comunalidades por encima de 0.50, es posible señalar que los constructos guardan una relación empírica con la teoría </w:t>
      </w:r>
      <w:r>
        <w:rPr>
          <w:lang w:val="es-ES"/>
        </w:rPr>
        <w:t>(</w:t>
      </w:r>
      <w:r w:rsidRPr="00CF0DDC">
        <w:rPr>
          <w:lang w:val="es-ES"/>
        </w:rPr>
        <w:t>Rodríguez</w:t>
      </w:r>
      <w:r w:rsidR="00983984" w:rsidRPr="007478FD">
        <w:t>-Jasso</w:t>
      </w:r>
      <w:r w:rsidRPr="00CF0DDC">
        <w:rPr>
          <w:lang w:val="es-ES"/>
        </w:rPr>
        <w:t xml:space="preserve"> </w:t>
      </w:r>
      <w:r w:rsidRPr="00CF0DDC">
        <w:rPr>
          <w:i/>
          <w:lang w:val="es-ES"/>
        </w:rPr>
        <w:t>et al</w:t>
      </w:r>
      <w:r w:rsidRPr="00CF0DDC">
        <w:rPr>
          <w:lang w:val="es-ES"/>
        </w:rPr>
        <w:t>.</w:t>
      </w:r>
      <w:r>
        <w:rPr>
          <w:lang w:val="es-ES"/>
        </w:rPr>
        <w:t>,</w:t>
      </w:r>
      <w:r w:rsidRPr="00CF0DDC">
        <w:rPr>
          <w:lang w:val="es-ES"/>
        </w:rPr>
        <w:t xml:space="preserve"> 2023) al aplicar el método de rotación Varimax.</w:t>
      </w:r>
    </w:p>
    <w:p w14:paraId="29F8DD03" w14:textId="77777777" w:rsidR="00AC3704" w:rsidRDefault="00AC3704" w:rsidP="002F576D">
      <w:pPr>
        <w:spacing w:after="160" w:line="360" w:lineRule="auto"/>
        <w:jc w:val="both"/>
        <w:rPr>
          <w:rFonts w:eastAsia="Times New Roman"/>
        </w:rPr>
      </w:pPr>
    </w:p>
    <w:p w14:paraId="2972FCFF" w14:textId="77777777" w:rsidR="004E1440" w:rsidRPr="004B4CF7" w:rsidRDefault="004E1440" w:rsidP="002F576D">
      <w:pPr>
        <w:spacing w:after="160" w:line="360" w:lineRule="auto"/>
        <w:jc w:val="both"/>
        <w:rPr>
          <w:rFonts w:eastAsia="Times New Roman"/>
        </w:rPr>
      </w:pPr>
    </w:p>
    <w:p w14:paraId="03360C19" w14:textId="77777777" w:rsidR="00982C12" w:rsidRPr="004B4CF7" w:rsidRDefault="00982C12" w:rsidP="002F576D">
      <w:pPr>
        <w:spacing w:line="360" w:lineRule="auto"/>
        <w:jc w:val="center"/>
        <w:rPr>
          <w:b/>
          <w:lang w:val="es-ES"/>
        </w:rPr>
      </w:pPr>
      <w:r w:rsidRPr="004B4CF7">
        <w:rPr>
          <w:b/>
          <w:lang w:val="es-ES"/>
        </w:rPr>
        <w:lastRenderedPageBreak/>
        <w:t>Análisis de confiabilidad</w:t>
      </w:r>
    </w:p>
    <w:p w14:paraId="0F783A15" w14:textId="32F8931A" w:rsidR="00AC3704" w:rsidRDefault="00AC3704" w:rsidP="002F576D">
      <w:pPr>
        <w:spacing w:line="360" w:lineRule="auto"/>
        <w:ind w:firstLine="708"/>
        <w:jc w:val="both"/>
        <w:rPr>
          <w:lang w:val="es-ES"/>
        </w:rPr>
      </w:pPr>
      <w:r w:rsidRPr="00CF0DDC">
        <w:rPr>
          <w:lang w:val="es-ES"/>
        </w:rPr>
        <w:t xml:space="preserve">Para considerar el coeficiente </w:t>
      </w:r>
      <w:r>
        <w:rPr>
          <w:lang w:val="es-ES"/>
        </w:rPr>
        <w:t>entre</w:t>
      </w:r>
      <w:r w:rsidRPr="00CF0DDC">
        <w:rPr>
          <w:lang w:val="es-ES"/>
        </w:rPr>
        <w:t xml:space="preserve"> aceptable </w:t>
      </w:r>
      <w:r>
        <w:rPr>
          <w:lang w:val="es-ES"/>
        </w:rPr>
        <w:t>y</w:t>
      </w:r>
      <w:r w:rsidRPr="00CF0DDC">
        <w:rPr>
          <w:lang w:val="es-ES"/>
        </w:rPr>
        <w:t xml:space="preserve"> bueno debería ser mayor a 0.70 </w:t>
      </w:r>
      <w:r>
        <w:rPr>
          <w:lang w:val="es-ES"/>
        </w:rPr>
        <w:t>(</w:t>
      </w:r>
      <w:r w:rsidRPr="00CF0DDC">
        <w:rPr>
          <w:lang w:val="es-ES"/>
        </w:rPr>
        <w:t>Cortina</w:t>
      </w:r>
      <w:r>
        <w:rPr>
          <w:lang w:val="es-ES"/>
        </w:rPr>
        <w:t>,</w:t>
      </w:r>
      <w:r w:rsidRPr="00CF0DDC">
        <w:rPr>
          <w:lang w:val="es-ES"/>
        </w:rPr>
        <w:t xml:space="preserve"> 1993</w:t>
      </w:r>
      <w:r>
        <w:rPr>
          <w:lang w:val="es-ES"/>
        </w:rPr>
        <w:t>;</w:t>
      </w:r>
      <w:r w:rsidRPr="00CF0DDC">
        <w:rPr>
          <w:lang w:val="es-ES"/>
        </w:rPr>
        <w:t xml:space="preserve"> Rave</w:t>
      </w:r>
      <w:r w:rsidR="00983984" w:rsidRPr="007478FD">
        <w:t>-Gómez</w:t>
      </w:r>
      <w:r w:rsidRPr="00CF0DDC">
        <w:rPr>
          <w:lang w:val="es-ES"/>
        </w:rPr>
        <w:t xml:space="preserve"> </w:t>
      </w:r>
      <w:r w:rsidRPr="00CF0DDC">
        <w:rPr>
          <w:i/>
          <w:lang w:val="es-ES"/>
        </w:rPr>
        <w:t>et al</w:t>
      </w:r>
      <w:r w:rsidRPr="00CF0DDC">
        <w:rPr>
          <w:lang w:val="es-ES"/>
        </w:rPr>
        <w:t>.</w:t>
      </w:r>
      <w:r>
        <w:rPr>
          <w:lang w:val="es-ES"/>
        </w:rPr>
        <w:t>,</w:t>
      </w:r>
      <w:r w:rsidRPr="00CF0DDC">
        <w:rPr>
          <w:lang w:val="es-ES"/>
        </w:rPr>
        <w:t xml:space="preserve"> 2023). En el presente estudio, el </w:t>
      </w:r>
      <w:r>
        <w:rPr>
          <w:lang w:val="es-ES"/>
        </w:rPr>
        <w:t>a</w:t>
      </w:r>
      <w:r w:rsidRPr="00CF0DDC">
        <w:rPr>
          <w:lang w:val="es-ES"/>
        </w:rPr>
        <w:t xml:space="preserve">lfa de Cronbach fue de 0.942 para los 29 ítems del instrumento final. A pesar de que la norma ISO 9001 (2015) propone cuatro dimensiones, el análisis factorial permitió determinar un aumento </w:t>
      </w:r>
      <w:r>
        <w:rPr>
          <w:lang w:val="es-ES"/>
        </w:rPr>
        <w:t>de</w:t>
      </w:r>
      <w:r w:rsidRPr="00CF0DDC">
        <w:rPr>
          <w:lang w:val="es-ES"/>
        </w:rPr>
        <w:t xml:space="preserve"> dos, es decir, finalmente se identificaron seis dimensiones que agrupan de mejor manera los ítems. El </w:t>
      </w:r>
      <w:r>
        <w:rPr>
          <w:lang w:val="es-ES"/>
        </w:rPr>
        <w:t>a</w:t>
      </w:r>
      <w:r w:rsidRPr="00CF0DDC">
        <w:rPr>
          <w:lang w:val="es-ES"/>
        </w:rPr>
        <w:t xml:space="preserve">lfa de Cronbach obtenido es aceptable para cada componente </w:t>
      </w:r>
      <w:r>
        <w:rPr>
          <w:lang w:val="es-ES"/>
        </w:rPr>
        <w:t>(t</w:t>
      </w:r>
      <w:r w:rsidRPr="00CF0DDC">
        <w:rPr>
          <w:lang w:val="es-ES"/>
        </w:rPr>
        <w:t>abla 6</w:t>
      </w:r>
      <w:r>
        <w:rPr>
          <w:lang w:val="es-ES"/>
        </w:rPr>
        <w:t>)</w:t>
      </w:r>
      <w:r w:rsidRPr="00CF0DDC">
        <w:rPr>
          <w:lang w:val="es-ES"/>
        </w:rPr>
        <w:t>.</w:t>
      </w:r>
    </w:p>
    <w:p w14:paraId="30825EC6" w14:textId="77777777" w:rsidR="002F576D" w:rsidRPr="00CF0DDC" w:rsidRDefault="002F576D" w:rsidP="002F576D">
      <w:pPr>
        <w:spacing w:line="360" w:lineRule="auto"/>
        <w:ind w:firstLine="708"/>
        <w:jc w:val="both"/>
        <w:rPr>
          <w:lang w:val="es-ES"/>
        </w:rPr>
      </w:pPr>
    </w:p>
    <w:p w14:paraId="1258E6B0" w14:textId="77777777" w:rsidR="00AC3704" w:rsidRPr="00CF0DDC" w:rsidRDefault="00AC3704" w:rsidP="00AC3704">
      <w:pPr>
        <w:spacing w:before="160" w:line="360" w:lineRule="auto"/>
        <w:jc w:val="center"/>
      </w:pPr>
      <w:r w:rsidRPr="00CF0DDC">
        <w:rPr>
          <w:b/>
        </w:rPr>
        <w:t>Tabla 6.</w:t>
      </w:r>
      <w:r w:rsidRPr="00CF0DDC">
        <w:t xml:space="preserve"> Componentes finales</w:t>
      </w:r>
    </w:p>
    <w:tbl>
      <w:tblPr>
        <w:tblW w:w="7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20"/>
        <w:gridCol w:w="2500"/>
        <w:gridCol w:w="2680"/>
      </w:tblGrid>
      <w:tr w:rsidR="00AC3704" w:rsidRPr="002F576D" w14:paraId="535839B6" w14:textId="77777777" w:rsidTr="00DE7C76">
        <w:trPr>
          <w:trHeight w:val="290"/>
          <w:jc w:val="center"/>
        </w:trPr>
        <w:tc>
          <w:tcPr>
            <w:tcW w:w="2720" w:type="dxa"/>
            <w:shd w:val="clear" w:color="000000" w:fill="FFFFFF"/>
            <w:vAlign w:val="center"/>
            <w:hideMark/>
          </w:tcPr>
          <w:p w14:paraId="7796A41C"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Componentes</w:t>
            </w:r>
          </w:p>
        </w:tc>
        <w:tc>
          <w:tcPr>
            <w:tcW w:w="2500" w:type="dxa"/>
            <w:shd w:val="clear" w:color="000000" w:fill="FFFFFF"/>
            <w:vAlign w:val="center"/>
            <w:hideMark/>
          </w:tcPr>
          <w:p w14:paraId="6922AC86" w14:textId="3E4536F5" w:rsidR="00AC3704" w:rsidRPr="002F576D" w:rsidRDefault="002F576D" w:rsidP="00DE7C76">
            <w:pPr>
              <w:jc w:val="both"/>
              <w:rPr>
                <w:rFonts w:eastAsia="Times New Roman"/>
                <w:color w:val="000000"/>
                <w:lang w:eastAsia="es-MX"/>
              </w:rPr>
            </w:pPr>
            <w:r w:rsidRPr="002F576D">
              <w:rPr>
                <w:rFonts w:eastAsia="Times New Roman"/>
                <w:color w:val="000000"/>
                <w:lang w:eastAsia="es-MX"/>
              </w:rPr>
              <w:t>Í</w:t>
            </w:r>
            <w:r w:rsidR="00AC3704" w:rsidRPr="002F576D">
              <w:rPr>
                <w:rFonts w:eastAsia="Times New Roman"/>
                <w:color w:val="000000"/>
                <w:lang w:eastAsia="es-MX"/>
              </w:rPr>
              <w:t>tems</w:t>
            </w:r>
          </w:p>
        </w:tc>
        <w:tc>
          <w:tcPr>
            <w:tcW w:w="2680" w:type="dxa"/>
            <w:shd w:val="clear" w:color="000000" w:fill="FFFFFF"/>
            <w:vAlign w:val="center"/>
            <w:hideMark/>
          </w:tcPr>
          <w:p w14:paraId="72416F50"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Alfa de Cronbach</w:t>
            </w:r>
          </w:p>
        </w:tc>
      </w:tr>
      <w:tr w:rsidR="00AC3704" w:rsidRPr="002F576D" w14:paraId="79BA584A" w14:textId="77777777" w:rsidTr="00DE7C76">
        <w:trPr>
          <w:trHeight w:val="290"/>
          <w:jc w:val="center"/>
        </w:trPr>
        <w:tc>
          <w:tcPr>
            <w:tcW w:w="2720" w:type="dxa"/>
            <w:shd w:val="clear" w:color="auto" w:fill="auto"/>
            <w:vAlign w:val="center"/>
            <w:hideMark/>
          </w:tcPr>
          <w:p w14:paraId="7AAAD973"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Procesadores de información</w:t>
            </w:r>
          </w:p>
        </w:tc>
        <w:tc>
          <w:tcPr>
            <w:tcW w:w="2500" w:type="dxa"/>
            <w:shd w:val="clear" w:color="auto" w:fill="auto"/>
            <w:noWrap/>
            <w:vAlign w:val="center"/>
            <w:hideMark/>
          </w:tcPr>
          <w:p w14:paraId="076504EC"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I26, I27, I25, I28, I24</w:t>
            </w:r>
          </w:p>
        </w:tc>
        <w:tc>
          <w:tcPr>
            <w:tcW w:w="2680" w:type="dxa"/>
            <w:shd w:val="clear" w:color="auto" w:fill="auto"/>
            <w:vAlign w:val="center"/>
          </w:tcPr>
          <w:p w14:paraId="497A73D4"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0.882</w:t>
            </w:r>
          </w:p>
        </w:tc>
      </w:tr>
      <w:tr w:rsidR="00AC3704" w:rsidRPr="002F576D" w14:paraId="6FED9776" w14:textId="77777777" w:rsidTr="00DE7C76">
        <w:trPr>
          <w:trHeight w:val="290"/>
          <w:jc w:val="center"/>
        </w:trPr>
        <w:tc>
          <w:tcPr>
            <w:tcW w:w="2720" w:type="dxa"/>
            <w:shd w:val="clear" w:color="auto" w:fill="auto"/>
            <w:vAlign w:val="center"/>
            <w:hideMark/>
          </w:tcPr>
          <w:p w14:paraId="7CDA0BA3"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Ciberseguridad y telecomunicaciones</w:t>
            </w:r>
          </w:p>
        </w:tc>
        <w:tc>
          <w:tcPr>
            <w:tcW w:w="2500" w:type="dxa"/>
            <w:shd w:val="clear" w:color="auto" w:fill="auto"/>
            <w:noWrap/>
            <w:vAlign w:val="center"/>
            <w:hideMark/>
          </w:tcPr>
          <w:p w14:paraId="53FD56B0"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I7, I6, I8, I29</w:t>
            </w:r>
          </w:p>
        </w:tc>
        <w:tc>
          <w:tcPr>
            <w:tcW w:w="2680" w:type="dxa"/>
            <w:shd w:val="clear" w:color="auto" w:fill="auto"/>
            <w:vAlign w:val="center"/>
          </w:tcPr>
          <w:p w14:paraId="38F37C20"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0.887</w:t>
            </w:r>
          </w:p>
        </w:tc>
      </w:tr>
      <w:tr w:rsidR="00AC3704" w:rsidRPr="002F576D" w14:paraId="286B8EDA" w14:textId="77777777" w:rsidTr="00DE7C76">
        <w:trPr>
          <w:trHeight w:val="290"/>
          <w:jc w:val="center"/>
        </w:trPr>
        <w:tc>
          <w:tcPr>
            <w:tcW w:w="2720" w:type="dxa"/>
            <w:shd w:val="clear" w:color="auto" w:fill="auto"/>
            <w:vAlign w:val="center"/>
            <w:hideMark/>
          </w:tcPr>
          <w:p w14:paraId="08D880C8"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Dispositivos electrónicos, servicio de internet y transporte</w:t>
            </w:r>
          </w:p>
        </w:tc>
        <w:tc>
          <w:tcPr>
            <w:tcW w:w="2500" w:type="dxa"/>
            <w:shd w:val="clear" w:color="auto" w:fill="auto"/>
            <w:noWrap/>
            <w:vAlign w:val="center"/>
            <w:hideMark/>
          </w:tcPr>
          <w:p w14:paraId="74D13652"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I16, I17, I19, I10, I11, I18, I9, I5</w:t>
            </w:r>
          </w:p>
        </w:tc>
        <w:tc>
          <w:tcPr>
            <w:tcW w:w="2680" w:type="dxa"/>
            <w:shd w:val="clear" w:color="auto" w:fill="auto"/>
            <w:vAlign w:val="center"/>
          </w:tcPr>
          <w:p w14:paraId="191DD470"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0.865</w:t>
            </w:r>
          </w:p>
        </w:tc>
      </w:tr>
      <w:tr w:rsidR="00AC3704" w:rsidRPr="002F576D" w14:paraId="7E0DBB4E" w14:textId="77777777" w:rsidTr="00DE7C76">
        <w:trPr>
          <w:trHeight w:val="290"/>
          <w:jc w:val="center"/>
        </w:trPr>
        <w:tc>
          <w:tcPr>
            <w:tcW w:w="2720" w:type="dxa"/>
            <w:shd w:val="clear" w:color="auto" w:fill="auto"/>
            <w:noWrap/>
            <w:vAlign w:val="bottom"/>
            <w:hideMark/>
          </w:tcPr>
          <w:p w14:paraId="41540395"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Espacio físico y virtual</w:t>
            </w:r>
          </w:p>
        </w:tc>
        <w:tc>
          <w:tcPr>
            <w:tcW w:w="2500" w:type="dxa"/>
            <w:shd w:val="clear" w:color="auto" w:fill="auto"/>
            <w:noWrap/>
            <w:vAlign w:val="center"/>
            <w:hideMark/>
          </w:tcPr>
          <w:p w14:paraId="4F1A426B"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I2, I1, I3, I23, I4</w:t>
            </w:r>
          </w:p>
        </w:tc>
        <w:tc>
          <w:tcPr>
            <w:tcW w:w="2680" w:type="dxa"/>
            <w:shd w:val="clear" w:color="auto" w:fill="auto"/>
            <w:vAlign w:val="center"/>
          </w:tcPr>
          <w:p w14:paraId="3D72F42A"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0.809</w:t>
            </w:r>
          </w:p>
        </w:tc>
      </w:tr>
      <w:tr w:rsidR="00AC3704" w:rsidRPr="002F576D" w14:paraId="361372DE" w14:textId="77777777" w:rsidTr="00DE7C76">
        <w:trPr>
          <w:trHeight w:val="290"/>
          <w:jc w:val="center"/>
        </w:trPr>
        <w:tc>
          <w:tcPr>
            <w:tcW w:w="2720" w:type="dxa"/>
            <w:shd w:val="clear" w:color="auto" w:fill="auto"/>
            <w:noWrap/>
            <w:vAlign w:val="bottom"/>
            <w:hideMark/>
          </w:tcPr>
          <w:p w14:paraId="6FD7AD8C"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Intercambio y almacenamiento de información</w:t>
            </w:r>
          </w:p>
        </w:tc>
        <w:tc>
          <w:tcPr>
            <w:tcW w:w="2500" w:type="dxa"/>
            <w:shd w:val="clear" w:color="auto" w:fill="auto"/>
            <w:noWrap/>
            <w:vAlign w:val="center"/>
            <w:hideMark/>
          </w:tcPr>
          <w:p w14:paraId="4029CAC5"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I21, I20, I22</w:t>
            </w:r>
          </w:p>
        </w:tc>
        <w:tc>
          <w:tcPr>
            <w:tcW w:w="2680" w:type="dxa"/>
            <w:shd w:val="clear" w:color="auto" w:fill="auto"/>
            <w:vAlign w:val="center"/>
          </w:tcPr>
          <w:p w14:paraId="1E54CB99"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0.724</w:t>
            </w:r>
          </w:p>
        </w:tc>
      </w:tr>
      <w:tr w:rsidR="00AC3704" w:rsidRPr="002F576D" w14:paraId="02DEED91" w14:textId="77777777" w:rsidTr="00DE7C76">
        <w:trPr>
          <w:trHeight w:val="290"/>
          <w:jc w:val="center"/>
        </w:trPr>
        <w:tc>
          <w:tcPr>
            <w:tcW w:w="2720" w:type="dxa"/>
            <w:shd w:val="clear" w:color="auto" w:fill="auto"/>
            <w:noWrap/>
            <w:vAlign w:val="bottom"/>
            <w:hideMark/>
          </w:tcPr>
          <w:p w14:paraId="232A70AA"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Ergonomía y ventilación en el espacio de trabajo</w:t>
            </w:r>
          </w:p>
        </w:tc>
        <w:tc>
          <w:tcPr>
            <w:tcW w:w="2500" w:type="dxa"/>
            <w:shd w:val="clear" w:color="auto" w:fill="auto"/>
            <w:noWrap/>
            <w:vAlign w:val="center"/>
            <w:hideMark/>
          </w:tcPr>
          <w:p w14:paraId="2E30DE36"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I14, I15, I12, I13</w:t>
            </w:r>
          </w:p>
        </w:tc>
        <w:tc>
          <w:tcPr>
            <w:tcW w:w="2680" w:type="dxa"/>
            <w:shd w:val="clear" w:color="auto" w:fill="auto"/>
            <w:vAlign w:val="center"/>
          </w:tcPr>
          <w:p w14:paraId="23C976CA" w14:textId="77777777" w:rsidR="00AC3704" w:rsidRPr="002F576D" w:rsidRDefault="00AC3704" w:rsidP="00DE7C76">
            <w:pPr>
              <w:jc w:val="both"/>
              <w:rPr>
                <w:rFonts w:eastAsia="Times New Roman"/>
                <w:color w:val="000000"/>
                <w:lang w:eastAsia="es-MX"/>
              </w:rPr>
            </w:pPr>
            <w:r w:rsidRPr="002F576D">
              <w:rPr>
                <w:rFonts w:eastAsia="Times New Roman"/>
                <w:color w:val="000000"/>
                <w:lang w:eastAsia="es-MX"/>
              </w:rPr>
              <w:t>0.861</w:t>
            </w:r>
          </w:p>
        </w:tc>
      </w:tr>
    </w:tbl>
    <w:p w14:paraId="3D4C8069" w14:textId="77777777" w:rsidR="00AC3704" w:rsidRPr="00CF0DDC" w:rsidRDefault="00AC3704" w:rsidP="002F576D">
      <w:pPr>
        <w:spacing w:line="360" w:lineRule="auto"/>
        <w:jc w:val="center"/>
      </w:pPr>
      <w:r w:rsidRPr="00CF0DDC">
        <w:t>Fuente: Elaboración propia</w:t>
      </w:r>
    </w:p>
    <w:p w14:paraId="3AE7007B" w14:textId="77777777" w:rsidR="00AC3704" w:rsidRDefault="00AC3704" w:rsidP="002F576D">
      <w:pPr>
        <w:spacing w:line="360" w:lineRule="auto"/>
        <w:ind w:firstLine="708"/>
        <w:jc w:val="both"/>
        <w:rPr>
          <w:lang w:val="es-ES"/>
        </w:rPr>
      </w:pPr>
      <w:r w:rsidRPr="00CF0DDC">
        <w:rPr>
          <w:lang w:val="es-ES"/>
        </w:rPr>
        <w:t>Una vez obtenida la matriz de componentes rotados, se nombraron conforme a la definición y aspecto que se pregunta en cada uno de los ítems integrados en los nuevos componentes. Estas designaciones se sustentan en la revisión de literatura revisada que da fundamento a cada ítem.</w:t>
      </w:r>
    </w:p>
    <w:p w14:paraId="4B0A5256" w14:textId="77777777" w:rsidR="00AC3704" w:rsidRDefault="00AC3704" w:rsidP="002F576D">
      <w:pPr>
        <w:spacing w:line="360" w:lineRule="auto"/>
        <w:ind w:firstLine="708"/>
        <w:jc w:val="both"/>
        <w:rPr>
          <w:lang w:val="es-ES"/>
        </w:rPr>
      </w:pPr>
      <w:r>
        <w:rPr>
          <w:lang w:val="es-ES"/>
        </w:rPr>
        <w:t>A partir de ello</w:t>
      </w:r>
      <w:r w:rsidRPr="00CF0DDC">
        <w:rPr>
          <w:lang w:val="es-ES"/>
        </w:rPr>
        <w:t>, la infraestructura puede ser evaluada bajo los seis componentes o factores que arrojó el análisis. Estos aspectos ofrecen una mayor objetividad y claridad para las organizaciones</w:t>
      </w:r>
      <w:r>
        <w:rPr>
          <w:lang w:val="es-ES"/>
        </w:rPr>
        <w:t>,</w:t>
      </w:r>
      <w:r w:rsidRPr="00CF0DDC">
        <w:rPr>
          <w:lang w:val="es-ES"/>
        </w:rPr>
        <w:t xml:space="preserve"> </w:t>
      </w:r>
      <w:r>
        <w:rPr>
          <w:lang w:val="es-ES"/>
        </w:rPr>
        <w:t>m</w:t>
      </w:r>
      <w:r w:rsidRPr="00CF0DDC">
        <w:rPr>
          <w:lang w:val="es-ES"/>
        </w:rPr>
        <w:t>ientras que la norma ISO 9001:2015 propone cuatro dimensiones, no define explícitamente ni proporciona elementos específicos de los que se compone cada una de estas dimensiones, ni proporciona un método por el cual se puedan evaluar estos elementos.</w:t>
      </w:r>
    </w:p>
    <w:p w14:paraId="6C8063D5" w14:textId="77777777" w:rsidR="00AC3704" w:rsidRDefault="00AC3704" w:rsidP="002F576D">
      <w:pPr>
        <w:spacing w:line="360" w:lineRule="auto"/>
        <w:jc w:val="both"/>
      </w:pPr>
    </w:p>
    <w:p w14:paraId="010CEC47" w14:textId="77777777" w:rsidR="004E1440" w:rsidRDefault="004E1440" w:rsidP="002F576D">
      <w:pPr>
        <w:spacing w:line="360" w:lineRule="auto"/>
        <w:jc w:val="both"/>
      </w:pPr>
    </w:p>
    <w:p w14:paraId="59A0DDF7" w14:textId="77777777" w:rsidR="004E1440" w:rsidRDefault="004E1440" w:rsidP="002F576D">
      <w:pPr>
        <w:spacing w:line="360" w:lineRule="auto"/>
        <w:jc w:val="both"/>
      </w:pPr>
    </w:p>
    <w:p w14:paraId="691CD9DB" w14:textId="77777777" w:rsidR="004E1440" w:rsidRDefault="004E1440" w:rsidP="002F576D">
      <w:pPr>
        <w:spacing w:line="360" w:lineRule="auto"/>
        <w:jc w:val="both"/>
      </w:pPr>
    </w:p>
    <w:p w14:paraId="7EA2A732" w14:textId="77777777" w:rsidR="004E1440" w:rsidRPr="004B4CF7" w:rsidRDefault="004E1440" w:rsidP="002F576D">
      <w:pPr>
        <w:spacing w:line="360" w:lineRule="auto"/>
        <w:jc w:val="both"/>
      </w:pPr>
    </w:p>
    <w:p w14:paraId="2C23D152" w14:textId="77777777" w:rsidR="00982C12" w:rsidRPr="004B4CF7" w:rsidRDefault="00982C12" w:rsidP="002F576D">
      <w:pPr>
        <w:spacing w:line="360" w:lineRule="auto"/>
        <w:jc w:val="center"/>
        <w:rPr>
          <w:b/>
          <w:sz w:val="32"/>
          <w:lang w:val="es-ES"/>
        </w:rPr>
      </w:pPr>
      <w:r w:rsidRPr="004B4CF7">
        <w:rPr>
          <w:b/>
          <w:sz w:val="32"/>
          <w:lang w:val="es-ES"/>
        </w:rPr>
        <w:lastRenderedPageBreak/>
        <w:t>Discusión</w:t>
      </w:r>
    </w:p>
    <w:p w14:paraId="669145DC" w14:textId="484FF513" w:rsidR="0093280A" w:rsidRDefault="0093280A" w:rsidP="002F576D">
      <w:pPr>
        <w:spacing w:line="360" w:lineRule="auto"/>
        <w:ind w:firstLine="708"/>
        <w:jc w:val="both"/>
        <w:rPr>
          <w:lang w:val="es-ES"/>
        </w:rPr>
      </w:pPr>
      <w:r w:rsidRPr="00CF0DDC">
        <w:rPr>
          <w:lang w:val="es-ES"/>
        </w:rPr>
        <w:t>Validar y dar rigor a instrumentos de medición genera confianza en toda investigación. En cuanto al panel de expertos, la investigación de Medina</w:t>
      </w:r>
      <w:r w:rsidR="00983984" w:rsidRPr="00983984">
        <w:t>-Parra</w:t>
      </w:r>
      <w:r w:rsidRPr="00CF0DDC">
        <w:rPr>
          <w:lang w:val="es-ES"/>
        </w:rPr>
        <w:t xml:space="preserve"> (2020) valida el contenido agrupando un cierto número de expertos para emitir juicios sobre la conveniencia de las dimensiones, preguntas y, en general, del instrumento</w:t>
      </w:r>
      <w:r>
        <w:rPr>
          <w:lang w:val="es-ES"/>
        </w:rPr>
        <w:t>, aunque</w:t>
      </w:r>
      <w:r w:rsidRPr="00CF0DDC">
        <w:rPr>
          <w:lang w:val="es-ES"/>
        </w:rPr>
        <w:t xml:space="preserve"> debe haber rigurosidad y evitar sesgo entre los participantes. Por su parte, Escobar</w:t>
      </w:r>
      <w:r w:rsidR="00983984" w:rsidRPr="007478FD">
        <w:t>-Pérez y Cuervo-Martínez</w:t>
      </w:r>
      <w:r w:rsidRPr="00CF0DDC">
        <w:rPr>
          <w:lang w:val="es-ES"/>
        </w:rPr>
        <w:t xml:space="preserve"> (2008) y Martínez</w:t>
      </w:r>
      <w:r w:rsidR="00983984" w:rsidRPr="00983984">
        <w:t>-Ques</w:t>
      </w:r>
      <w:r w:rsidRPr="00CF0DDC">
        <w:rPr>
          <w:lang w:val="es-ES"/>
        </w:rPr>
        <w:t xml:space="preserve"> </w:t>
      </w:r>
      <w:r w:rsidRPr="00CF0DDC">
        <w:rPr>
          <w:i/>
          <w:lang w:val="es-ES"/>
        </w:rPr>
        <w:t>et al</w:t>
      </w:r>
      <w:r w:rsidRPr="00CF0DDC">
        <w:rPr>
          <w:lang w:val="es-ES"/>
        </w:rPr>
        <w:t>. (2022) emplean los criterios de claridad, relevancia y pertinencia para valorar cada uno de los ítems. En esta investigación, el instrumento se valida con los tres criterios mencionados, cumpliendo con el objetivo de validez de contenido. No obstante, no se limita a esos criterios, ya que autores como Dorantes</w:t>
      </w:r>
      <w:r w:rsidR="00983984" w:rsidRPr="007478FD">
        <w:t>-Nova</w:t>
      </w:r>
      <w:r w:rsidRPr="00CF0DDC">
        <w:rPr>
          <w:lang w:val="es-ES"/>
        </w:rPr>
        <w:t xml:space="preserve"> </w:t>
      </w:r>
      <w:r w:rsidRPr="00CF0DDC">
        <w:rPr>
          <w:i/>
          <w:lang w:val="es-ES"/>
        </w:rPr>
        <w:t>et al</w:t>
      </w:r>
      <w:r w:rsidRPr="00CF0DDC">
        <w:rPr>
          <w:lang w:val="es-ES"/>
        </w:rPr>
        <w:t xml:space="preserve">. (2016) proponen otros cuatro: suficiencia, claridad, coherencia y relevancia, mientras que Best </w:t>
      </w:r>
      <w:r w:rsidRPr="00CF0DDC">
        <w:rPr>
          <w:i/>
          <w:lang w:val="es-ES"/>
        </w:rPr>
        <w:t>et al</w:t>
      </w:r>
      <w:r w:rsidRPr="00CF0DDC">
        <w:rPr>
          <w:lang w:val="es-ES"/>
        </w:rPr>
        <w:t>. (2021) trabajan con pertinencia, claridad y redacción. En cuanto a la escala Likert, De Clifford</w:t>
      </w:r>
      <w:r w:rsidR="00983984" w:rsidRPr="00983984">
        <w:rPr>
          <w:lang w:val="en-US"/>
        </w:rPr>
        <w:t>-Faugère</w:t>
      </w:r>
      <w:r w:rsidRPr="00CF0DDC">
        <w:rPr>
          <w:lang w:val="es-ES"/>
        </w:rPr>
        <w:t xml:space="preserve"> </w:t>
      </w:r>
      <w:r w:rsidRPr="00CF0DDC">
        <w:rPr>
          <w:i/>
          <w:lang w:val="es-ES"/>
        </w:rPr>
        <w:t>et al</w:t>
      </w:r>
      <w:r w:rsidRPr="00CF0DDC">
        <w:rPr>
          <w:lang w:val="es-ES"/>
        </w:rPr>
        <w:t>. (2022) emplean cinco puntos para evaluar los tres criterios. En esta investigación, se sigue un proceso análogo, lo que resalta la relevancia del uso de la escala en investigaciones posteriores.</w:t>
      </w:r>
    </w:p>
    <w:p w14:paraId="6E31F065" w14:textId="2C34A608" w:rsidR="0093280A" w:rsidRDefault="0093280A" w:rsidP="002F576D">
      <w:pPr>
        <w:spacing w:line="360" w:lineRule="auto"/>
        <w:ind w:firstLine="708"/>
        <w:jc w:val="both"/>
        <w:rPr>
          <w:lang w:val="es-ES"/>
        </w:rPr>
      </w:pPr>
      <w:r w:rsidRPr="00CF0DDC">
        <w:rPr>
          <w:lang w:val="es-ES"/>
        </w:rPr>
        <w:t>Asimismo, el análisis factorial proporciona una adecuación pertinente de componentes</w:t>
      </w:r>
      <w:r>
        <w:rPr>
          <w:lang w:val="es-ES"/>
        </w:rPr>
        <w:t>, pues</w:t>
      </w:r>
      <w:r w:rsidRPr="00CF0DDC">
        <w:rPr>
          <w:lang w:val="es-ES"/>
        </w:rPr>
        <w:t xml:space="preserve"> agrupa de mejor manera los ítems usando la técnica de KMO y prueba esfericidad de Bartlett, como lo muestran los estudios de Leigh</w:t>
      </w:r>
      <w:r w:rsidR="00983984" w:rsidRPr="007478FD">
        <w:t>-González</w:t>
      </w:r>
      <w:r w:rsidRPr="00CF0DDC">
        <w:rPr>
          <w:lang w:val="es-ES"/>
        </w:rPr>
        <w:t xml:space="preserve"> </w:t>
      </w:r>
      <w:r w:rsidRPr="00CF0DDC">
        <w:rPr>
          <w:i/>
          <w:lang w:val="es-ES"/>
        </w:rPr>
        <w:t>et al</w:t>
      </w:r>
      <w:r w:rsidRPr="00CF0DDC">
        <w:rPr>
          <w:lang w:val="es-ES"/>
        </w:rPr>
        <w:t>. (2022), Rave</w:t>
      </w:r>
      <w:r w:rsidR="00983984" w:rsidRPr="00983984">
        <w:t>-Gómez</w:t>
      </w:r>
      <w:r w:rsidRPr="00CF0DDC">
        <w:rPr>
          <w:lang w:val="es-ES"/>
        </w:rPr>
        <w:t xml:space="preserve"> </w:t>
      </w:r>
      <w:r w:rsidRPr="00CF0DDC">
        <w:rPr>
          <w:i/>
          <w:lang w:val="es-ES"/>
        </w:rPr>
        <w:t>et al</w:t>
      </w:r>
      <w:r w:rsidRPr="00CF0DDC">
        <w:rPr>
          <w:lang w:val="es-ES"/>
        </w:rPr>
        <w:t xml:space="preserve">. (2023), y De Groot </w:t>
      </w:r>
      <w:r w:rsidRPr="00CF0DDC">
        <w:rPr>
          <w:i/>
          <w:lang w:val="es-ES"/>
        </w:rPr>
        <w:t>et al</w:t>
      </w:r>
      <w:r w:rsidRPr="00CF0DDC">
        <w:rPr>
          <w:lang w:val="es-ES"/>
        </w:rPr>
        <w:t xml:space="preserve">. (2023), quienes cumplen con la medida de adecuación KMO mayor a 0.5 y esfericidad de Bartlett significativa menor a 0.05. Con ello, se logra validar el constructo en este estudio. </w:t>
      </w:r>
      <w:r>
        <w:rPr>
          <w:lang w:val="es-ES"/>
        </w:rPr>
        <w:t>Asimismo, l</w:t>
      </w:r>
      <w:r w:rsidRPr="00CF0DDC">
        <w:rPr>
          <w:lang w:val="es-ES"/>
        </w:rPr>
        <w:t xml:space="preserve">a confiabilidad con coeficiente </w:t>
      </w:r>
      <w:r>
        <w:rPr>
          <w:lang w:val="es-ES"/>
        </w:rPr>
        <w:t>a</w:t>
      </w:r>
      <w:r w:rsidRPr="00CF0DDC">
        <w:rPr>
          <w:lang w:val="es-ES"/>
        </w:rPr>
        <w:t>lfa de Cronbach obtenida se encuentra en valores aceptables, como los presentes en estudios de Schuler y Matuszczyk (2022), Fernández</w:t>
      </w:r>
      <w:r w:rsidR="00983984">
        <w:rPr>
          <w:lang w:val="es-ES"/>
        </w:rPr>
        <w:t>-</w:t>
      </w:r>
      <w:r w:rsidR="00983984" w:rsidRPr="007478FD">
        <w:t>Hernández</w:t>
      </w:r>
      <w:r w:rsidRPr="00CF0DDC">
        <w:rPr>
          <w:lang w:val="es-ES"/>
        </w:rPr>
        <w:t xml:space="preserve"> </w:t>
      </w:r>
      <w:r w:rsidRPr="00CF0DDC">
        <w:rPr>
          <w:i/>
          <w:lang w:val="es-ES"/>
        </w:rPr>
        <w:t>et al</w:t>
      </w:r>
      <w:r w:rsidRPr="00CF0DDC">
        <w:rPr>
          <w:lang w:val="es-ES"/>
        </w:rPr>
        <w:t>. (2022), Bautista</w:t>
      </w:r>
      <w:r w:rsidR="00983984" w:rsidRPr="007478FD">
        <w:t>-Espinel</w:t>
      </w:r>
      <w:r w:rsidRPr="00CF0DDC">
        <w:rPr>
          <w:lang w:val="es-ES"/>
        </w:rPr>
        <w:t xml:space="preserve"> </w:t>
      </w:r>
      <w:r w:rsidRPr="00CF0DDC">
        <w:rPr>
          <w:i/>
          <w:lang w:val="es-ES"/>
        </w:rPr>
        <w:t>et al</w:t>
      </w:r>
      <w:r w:rsidRPr="00CF0DDC">
        <w:rPr>
          <w:lang w:val="es-ES"/>
        </w:rPr>
        <w:t>. (2022) y Rodríguez</w:t>
      </w:r>
      <w:r w:rsidR="00983984" w:rsidRPr="00983984">
        <w:t>-Jasso</w:t>
      </w:r>
      <w:r w:rsidRPr="00CF0DDC">
        <w:rPr>
          <w:lang w:val="es-ES"/>
        </w:rPr>
        <w:t xml:space="preserve"> </w:t>
      </w:r>
      <w:r w:rsidRPr="00CF0DDC">
        <w:rPr>
          <w:i/>
          <w:lang w:val="es-ES"/>
        </w:rPr>
        <w:t>et al</w:t>
      </w:r>
      <w:r w:rsidRPr="00CF0DDC">
        <w:rPr>
          <w:lang w:val="es-ES"/>
        </w:rPr>
        <w:t>. (2023). No obstante, otros autores evalúan la confiabilidad empleando el análisis de Kuder-Richardson (Terán</w:t>
      </w:r>
      <w:r w:rsidR="00983984" w:rsidRPr="007478FD">
        <w:t>-Bustamante</w:t>
      </w:r>
      <w:r w:rsidRPr="00CF0DDC">
        <w:rPr>
          <w:lang w:val="es-ES"/>
        </w:rPr>
        <w:t xml:space="preserve"> </w:t>
      </w:r>
      <w:r w:rsidRPr="00CF0DDC">
        <w:rPr>
          <w:i/>
          <w:lang w:val="es-ES"/>
        </w:rPr>
        <w:t>et al</w:t>
      </w:r>
      <w:r w:rsidRPr="00CF0DDC">
        <w:rPr>
          <w:lang w:val="es-ES"/>
        </w:rPr>
        <w:t>., 2020; Durán</w:t>
      </w:r>
      <w:r w:rsidR="00983984" w:rsidRPr="007478FD">
        <w:t>-Pérez</w:t>
      </w:r>
      <w:r w:rsidRPr="00CF0DDC">
        <w:rPr>
          <w:lang w:val="es-ES"/>
        </w:rPr>
        <w:t xml:space="preserve"> y Lara</w:t>
      </w:r>
      <w:r w:rsidR="00983984" w:rsidRPr="007478FD">
        <w:t>-Abad</w:t>
      </w:r>
      <w:r w:rsidRPr="00CF0DDC">
        <w:rPr>
          <w:lang w:val="es-ES"/>
        </w:rPr>
        <w:t xml:space="preserve">, 2021) y el omega de McDonald (Moscoso </w:t>
      </w:r>
      <w:r w:rsidRPr="00CF0DDC">
        <w:rPr>
          <w:i/>
          <w:lang w:val="es-ES"/>
        </w:rPr>
        <w:t>et al</w:t>
      </w:r>
      <w:r w:rsidRPr="00CF0DDC">
        <w:rPr>
          <w:lang w:val="es-ES"/>
        </w:rPr>
        <w:t>., 2019; Steger y Hilt, 2023).</w:t>
      </w:r>
    </w:p>
    <w:p w14:paraId="0CE04CFA" w14:textId="77777777" w:rsidR="0093280A" w:rsidRDefault="0093280A" w:rsidP="002F576D">
      <w:pPr>
        <w:spacing w:line="360" w:lineRule="auto"/>
        <w:ind w:firstLine="708"/>
        <w:jc w:val="both"/>
        <w:rPr>
          <w:lang w:val="es-ES"/>
        </w:rPr>
      </w:pPr>
      <w:r>
        <w:rPr>
          <w:lang w:val="es-ES"/>
        </w:rPr>
        <w:t>Por último, l</w:t>
      </w:r>
      <w:r w:rsidRPr="00CF0DDC">
        <w:rPr>
          <w:lang w:val="es-ES"/>
        </w:rPr>
        <w:t xml:space="preserve">as limitaciones </w:t>
      </w:r>
      <w:r>
        <w:rPr>
          <w:lang w:val="es-ES"/>
        </w:rPr>
        <w:t xml:space="preserve">surgidas </w:t>
      </w:r>
      <w:r w:rsidRPr="00CF0DDC">
        <w:rPr>
          <w:lang w:val="es-ES"/>
        </w:rPr>
        <w:t>están relacionadas principalmente con la muestra utilizada para la prueba piloto</w:t>
      </w:r>
      <w:r>
        <w:rPr>
          <w:lang w:val="es-ES"/>
        </w:rPr>
        <w:t xml:space="preserve">, pues </w:t>
      </w:r>
      <w:r w:rsidRPr="00CF0DDC">
        <w:rPr>
          <w:lang w:val="es-ES"/>
        </w:rPr>
        <w:t>las personas tienden a no atender cuestionarios vía electrónica, lo que pone de manifiesto un posible desinterés en participar. Sin embargo, es importante destacar que las organizaciones pueden generar conciencia sobre el impacto positivo que podría tener la evaluación de la infraestructura.</w:t>
      </w:r>
    </w:p>
    <w:p w14:paraId="16EABC36" w14:textId="77777777" w:rsidR="004E1440" w:rsidRDefault="004E1440" w:rsidP="002F576D">
      <w:pPr>
        <w:spacing w:line="360" w:lineRule="auto"/>
        <w:jc w:val="center"/>
        <w:rPr>
          <w:b/>
          <w:sz w:val="32"/>
          <w:lang w:val="es-ES"/>
        </w:rPr>
      </w:pPr>
    </w:p>
    <w:p w14:paraId="1B49324F" w14:textId="77777777" w:rsidR="004E1440" w:rsidRDefault="004E1440" w:rsidP="002F576D">
      <w:pPr>
        <w:spacing w:line="360" w:lineRule="auto"/>
        <w:jc w:val="center"/>
        <w:rPr>
          <w:b/>
          <w:sz w:val="32"/>
          <w:lang w:val="es-ES"/>
        </w:rPr>
      </w:pPr>
    </w:p>
    <w:p w14:paraId="268D8166" w14:textId="464334B1" w:rsidR="00982C12" w:rsidRPr="004B4CF7" w:rsidRDefault="00982C12" w:rsidP="002F576D">
      <w:pPr>
        <w:spacing w:line="360" w:lineRule="auto"/>
        <w:jc w:val="center"/>
        <w:rPr>
          <w:b/>
          <w:sz w:val="32"/>
          <w:lang w:val="es-ES"/>
        </w:rPr>
      </w:pPr>
      <w:r w:rsidRPr="004B4CF7">
        <w:rPr>
          <w:b/>
          <w:sz w:val="32"/>
          <w:lang w:val="es-ES"/>
        </w:rPr>
        <w:lastRenderedPageBreak/>
        <w:t>Conclusiones</w:t>
      </w:r>
    </w:p>
    <w:p w14:paraId="40AC2E03" w14:textId="77777777" w:rsidR="0093280A" w:rsidRDefault="0093280A" w:rsidP="002F576D">
      <w:pPr>
        <w:spacing w:line="360" w:lineRule="auto"/>
        <w:ind w:firstLine="708"/>
        <w:jc w:val="both"/>
        <w:rPr>
          <w:lang w:val="es-ES"/>
        </w:rPr>
      </w:pPr>
      <w:r w:rsidRPr="00CF0DDC">
        <w:rPr>
          <w:lang w:val="es-ES"/>
        </w:rPr>
        <w:t xml:space="preserve">La relevancia de contar con instrumentos que contribuyan a mejorar productos y/o servicios, asegurar calidad y crear entornos laborales adecuados es indispensable. Para ello, las organizaciones y empresas deben recopilar información, </w:t>
      </w:r>
      <w:r>
        <w:rPr>
          <w:lang w:val="es-ES"/>
        </w:rPr>
        <w:t>lo cual</w:t>
      </w:r>
      <w:r w:rsidRPr="00CF0DDC">
        <w:rPr>
          <w:lang w:val="es-ES"/>
        </w:rPr>
        <w:t xml:space="preserve"> se </w:t>
      </w:r>
      <w:r>
        <w:rPr>
          <w:lang w:val="es-ES"/>
        </w:rPr>
        <w:t>puede lograr</w:t>
      </w:r>
      <w:r w:rsidRPr="00CF0DDC">
        <w:rPr>
          <w:lang w:val="es-ES"/>
        </w:rPr>
        <w:t xml:space="preserve"> con encuestas. Por lo tanto, contar con una herramienta resulta relevante para optimizar procesos y mantener o aumentar la competitividad. En primera instancia, el instrumento cumplió con la pertinencia para recabar dicha información.</w:t>
      </w:r>
      <w:r>
        <w:rPr>
          <w:lang w:val="es-ES"/>
        </w:rPr>
        <w:t xml:space="preserve"> </w:t>
      </w:r>
    </w:p>
    <w:p w14:paraId="286E0062" w14:textId="77777777" w:rsidR="0093280A" w:rsidRDefault="0093280A" w:rsidP="002F576D">
      <w:pPr>
        <w:spacing w:line="360" w:lineRule="auto"/>
        <w:ind w:firstLine="708"/>
        <w:jc w:val="both"/>
        <w:rPr>
          <w:lang w:val="es-ES"/>
        </w:rPr>
      </w:pPr>
      <w:r>
        <w:rPr>
          <w:lang w:val="es-ES"/>
        </w:rPr>
        <w:t>Por otra parte, se puede afirmar que e</w:t>
      </w:r>
      <w:r w:rsidRPr="00CF0DDC">
        <w:rPr>
          <w:lang w:val="es-ES"/>
        </w:rPr>
        <w:t xml:space="preserve">n </w:t>
      </w:r>
      <w:r>
        <w:rPr>
          <w:lang w:val="es-ES"/>
        </w:rPr>
        <w:t>este</w:t>
      </w:r>
      <w:r w:rsidRPr="00CF0DDC">
        <w:rPr>
          <w:lang w:val="es-ES"/>
        </w:rPr>
        <w:t xml:space="preserve"> </w:t>
      </w:r>
      <w:r>
        <w:rPr>
          <w:lang w:val="es-ES"/>
        </w:rPr>
        <w:t>trabajo</w:t>
      </w:r>
      <w:r w:rsidRPr="00CF0DDC">
        <w:rPr>
          <w:lang w:val="es-ES"/>
        </w:rPr>
        <w:t xml:space="preserve"> se logró cumplir con el objetivo general de diseñar y validar el instrumento. Asimismo, el objetivo específico uno, que consistía en validar el contenido mediante un panel de expertos, se llevó a cabo satisfactoriamente. </w:t>
      </w:r>
      <w:r>
        <w:rPr>
          <w:lang w:val="es-ES"/>
        </w:rPr>
        <w:t>De igual manera, e</w:t>
      </w:r>
      <w:r w:rsidRPr="00CF0DDC">
        <w:rPr>
          <w:lang w:val="es-ES"/>
        </w:rPr>
        <w:t xml:space="preserve">l objetivo específico dos se cumplió al validar el constructo usando análisis factorial, KMO y prueba de esfericidad de Bartlett; mientras que el objetivo tres consistió en la confiabilidad del instrumento, a través del coeficiente </w:t>
      </w:r>
      <w:r>
        <w:rPr>
          <w:lang w:val="es-ES"/>
        </w:rPr>
        <w:t>a</w:t>
      </w:r>
      <w:r w:rsidRPr="00CF0DDC">
        <w:rPr>
          <w:lang w:val="es-ES"/>
        </w:rPr>
        <w:t>lfa de Cronbach.</w:t>
      </w:r>
    </w:p>
    <w:p w14:paraId="1F117A88" w14:textId="77777777" w:rsidR="0093280A" w:rsidRDefault="0093280A" w:rsidP="002F576D">
      <w:pPr>
        <w:spacing w:line="360" w:lineRule="auto"/>
        <w:ind w:firstLine="708"/>
        <w:jc w:val="both"/>
        <w:rPr>
          <w:lang w:val="es-ES"/>
        </w:rPr>
      </w:pPr>
      <w:r>
        <w:rPr>
          <w:lang w:val="es-ES"/>
        </w:rPr>
        <w:t>En síntesis, e</w:t>
      </w:r>
      <w:r w:rsidRPr="00CF0DDC">
        <w:rPr>
          <w:lang w:val="es-ES"/>
        </w:rPr>
        <w:t>l fortalecimiento de la investigación instrumental ha permitido que el instrumento final pueda ser aplicado en diversos sectores. Sin embargo, el criterio del investigador, el personal directivo y la comunidad académica de adecuar la encuesta es válido, siempre y cuando mantengan el rigor científico pertinente para obtener resultados lo más objetivos posibles.</w:t>
      </w:r>
    </w:p>
    <w:p w14:paraId="7C967F75" w14:textId="77777777" w:rsidR="0093280A" w:rsidRPr="00CF0DDC" w:rsidRDefault="0093280A" w:rsidP="002F576D">
      <w:pPr>
        <w:spacing w:line="360" w:lineRule="auto"/>
        <w:ind w:firstLine="708"/>
        <w:jc w:val="both"/>
        <w:rPr>
          <w:lang w:val="es-ES"/>
        </w:rPr>
      </w:pPr>
      <w:r w:rsidRPr="00CF0DDC">
        <w:rPr>
          <w:lang w:val="es-ES"/>
        </w:rPr>
        <w:t>Dentro de los principales hallazgos, se encuentra la adecuación a seis dimensiones de la variable infraestructura, propuesta por la norma ISO 9001:2015. Las nuevas dimensiones se denominaron procesadores de información, ciberseguridad y telecomunicaciones, dispositivos electrónicos, servicio de internet y transporte, espacio físico y virtual, intercambio y almacenamiento de información, y ergonomía y ventilación en el espacio de trabajo. El organismo que obtenga resultados basados en estas nuevas dimensiones puede ser capaz de planear mejoras y priorizar aquellas de mayor importancia</w:t>
      </w:r>
      <w:r>
        <w:rPr>
          <w:lang w:val="es-ES"/>
        </w:rPr>
        <w:t xml:space="preserve"> para</w:t>
      </w:r>
      <w:r w:rsidRPr="00CF0DDC">
        <w:rPr>
          <w:lang w:val="es-ES"/>
        </w:rPr>
        <w:t xml:space="preserve"> detectar áreas donde los trabajadores muestren mayor descontento e incomodidad. </w:t>
      </w:r>
      <w:r>
        <w:rPr>
          <w:lang w:val="es-ES"/>
        </w:rPr>
        <w:t>En definitiva, l</w:t>
      </w:r>
      <w:r w:rsidRPr="00CF0DDC">
        <w:rPr>
          <w:lang w:val="es-ES"/>
        </w:rPr>
        <w:t>a contribución principal del estudio es el instrumento de medición, el cual tiene un alcance hacia cualquier sector.</w:t>
      </w:r>
    </w:p>
    <w:p w14:paraId="0ECD9411" w14:textId="77777777" w:rsidR="0093280A" w:rsidRDefault="0093280A" w:rsidP="002F576D">
      <w:pPr>
        <w:spacing w:line="360" w:lineRule="auto"/>
        <w:ind w:firstLine="567"/>
        <w:jc w:val="both"/>
        <w:rPr>
          <w:lang w:val="es-ES"/>
        </w:rPr>
      </w:pPr>
    </w:p>
    <w:p w14:paraId="5F0F2F29" w14:textId="77777777" w:rsidR="004E1440" w:rsidRDefault="004E1440" w:rsidP="002F576D">
      <w:pPr>
        <w:spacing w:line="360" w:lineRule="auto"/>
        <w:ind w:firstLine="567"/>
        <w:jc w:val="both"/>
        <w:rPr>
          <w:lang w:val="es-ES"/>
        </w:rPr>
      </w:pPr>
    </w:p>
    <w:p w14:paraId="2E873245" w14:textId="77777777" w:rsidR="004E1440" w:rsidRDefault="004E1440" w:rsidP="002F576D">
      <w:pPr>
        <w:spacing w:line="360" w:lineRule="auto"/>
        <w:ind w:firstLine="567"/>
        <w:jc w:val="both"/>
        <w:rPr>
          <w:lang w:val="es-ES"/>
        </w:rPr>
      </w:pPr>
    </w:p>
    <w:p w14:paraId="06C14B01" w14:textId="77777777" w:rsidR="004E1440" w:rsidRDefault="004E1440" w:rsidP="002F576D">
      <w:pPr>
        <w:spacing w:line="360" w:lineRule="auto"/>
        <w:ind w:firstLine="567"/>
        <w:jc w:val="both"/>
        <w:rPr>
          <w:lang w:val="es-ES"/>
        </w:rPr>
      </w:pPr>
    </w:p>
    <w:p w14:paraId="4EC35B2E" w14:textId="77777777" w:rsidR="004E1440" w:rsidRDefault="004E1440" w:rsidP="002F576D">
      <w:pPr>
        <w:spacing w:line="360" w:lineRule="auto"/>
        <w:ind w:firstLine="567"/>
        <w:jc w:val="both"/>
        <w:rPr>
          <w:lang w:val="es-ES"/>
        </w:rPr>
      </w:pPr>
    </w:p>
    <w:p w14:paraId="5901AA24" w14:textId="77777777" w:rsidR="004E1440" w:rsidRDefault="004E1440" w:rsidP="002F576D">
      <w:pPr>
        <w:spacing w:line="360" w:lineRule="auto"/>
        <w:ind w:firstLine="567"/>
        <w:jc w:val="both"/>
        <w:rPr>
          <w:lang w:val="es-ES"/>
        </w:rPr>
      </w:pPr>
    </w:p>
    <w:p w14:paraId="188D2C47" w14:textId="77777777" w:rsidR="004E1440" w:rsidRPr="004B4CF7" w:rsidRDefault="004E1440" w:rsidP="002F576D">
      <w:pPr>
        <w:spacing w:line="360" w:lineRule="auto"/>
        <w:ind w:firstLine="567"/>
        <w:jc w:val="both"/>
        <w:rPr>
          <w:lang w:val="es-ES"/>
        </w:rPr>
      </w:pPr>
    </w:p>
    <w:p w14:paraId="2DE43704" w14:textId="77777777" w:rsidR="0071027E" w:rsidRPr="002F576D" w:rsidRDefault="0071027E" w:rsidP="002F576D">
      <w:pPr>
        <w:spacing w:line="360" w:lineRule="auto"/>
        <w:jc w:val="center"/>
        <w:rPr>
          <w:b/>
          <w:sz w:val="28"/>
          <w:szCs w:val="22"/>
          <w:lang w:val="es-ES"/>
        </w:rPr>
      </w:pPr>
      <w:r w:rsidRPr="002F576D">
        <w:rPr>
          <w:b/>
          <w:sz w:val="28"/>
          <w:szCs w:val="22"/>
          <w:lang w:val="es-ES"/>
        </w:rPr>
        <w:lastRenderedPageBreak/>
        <w:t>Futuras líneas de investigación</w:t>
      </w:r>
    </w:p>
    <w:p w14:paraId="5C8BE691" w14:textId="77777777" w:rsidR="0093280A" w:rsidRDefault="0093280A" w:rsidP="002F576D">
      <w:pPr>
        <w:spacing w:line="360" w:lineRule="auto"/>
        <w:ind w:firstLine="708"/>
        <w:jc w:val="both"/>
      </w:pPr>
      <w:r w:rsidRPr="00CF0DDC">
        <w:t xml:space="preserve">Las futuras líneas de investigación pueden </w:t>
      </w:r>
      <w:r>
        <w:t xml:space="preserve">enfocarse en </w:t>
      </w:r>
      <w:r w:rsidRPr="00CF0DDC">
        <w:t>aplicar otras técnicas estadísticas para dar validez al instrumento, como análisis de fiabilidad alternativos o análisis de consistencia interna. Además, se podría ampliar la muestra para confirmar la aseveración de que el instrumento propuesto tiene alcance en todos los sectores productivos y en distintos contextos organizacionales.</w:t>
      </w:r>
    </w:p>
    <w:p w14:paraId="7E193FF5" w14:textId="77777777" w:rsidR="0093280A" w:rsidRPr="00CF0DDC" w:rsidRDefault="0093280A" w:rsidP="002F576D">
      <w:pPr>
        <w:spacing w:line="360" w:lineRule="auto"/>
        <w:ind w:firstLine="708"/>
        <w:jc w:val="both"/>
      </w:pPr>
      <w:r w:rsidRPr="00CF0DDC">
        <w:t>Otra área de investigación prometedora podría ser tomar otros elementos que sean capaces de adaptarse a un entorno de calidad, siguiendo las directrices de la norma ISO 9001:2015, y evaluar cómo estos elementos afectan la percepción de calidad y el rendimiento organizacional.</w:t>
      </w:r>
      <w:r>
        <w:t xml:space="preserve"> </w:t>
      </w:r>
      <w:r w:rsidRPr="00CF0DDC">
        <w:t>Además, se podría explorar la creación de modelos estadísticos más complejos que involucren un mayor número de variables, permitiendo obtener resultados más robustos.</w:t>
      </w:r>
    </w:p>
    <w:p w14:paraId="271F53B2" w14:textId="4E4C34A1" w:rsidR="00237116" w:rsidRPr="004E1440" w:rsidRDefault="00237116" w:rsidP="004E1440">
      <w:pPr>
        <w:spacing w:line="360" w:lineRule="auto"/>
        <w:jc w:val="both"/>
        <w:rPr>
          <w:b/>
          <w:szCs w:val="20"/>
        </w:rPr>
      </w:pPr>
    </w:p>
    <w:p w14:paraId="5F37DF3A" w14:textId="165D52FA" w:rsidR="00983984" w:rsidRPr="004E1440" w:rsidRDefault="00982C12" w:rsidP="004E1440">
      <w:pPr>
        <w:spacing w:line="360" w:lineRule="auto"/>
        <w:jc w:val="both"/>
        <w:rPr>
          <w:rFonts w:asciiTheme="minorHAnsi" w:hAnsiTheme="minorHAnsi" w:cstheme="minorHAnsi"/>
          <w:b/>
          <w:sz w:val="28"/>
          <w:lang w:val="es-ES"/>
        </w:rPr>
      </w:pPr>
      <w:r w:rsidRPr="002F576D">
        <w:rPr>
          <w:rFonts w:asciiTheme="minorHAnsi" w:hAnsiTheme="minorHAnsi" w:cstheme="minorHAnsi"/>
          <w:b/>
          <w:sz w:val="28"/>
          <w:lang w:val="es-ES"/>
        </w:rPr>
        <w:t xml:space="preserve">Referencias </w:t>
      </w:r>
    </w:p>
    <w:p w14:paraId="7D7B97F2" w14:textId="77777777" w:rsidR="00983984" w:rsidRPr="00090791" w:rsidRDefault="00983984" w:rsidP="002F576D">
      <w:pPr>
        <w:spacing w:line="360" w:lineRule="auto"/>
        <w:ind w:left="708" w:hanging="708"/>
        <w:jc w:val="both"/>
        <w:rPr>
          <w:lang w:val="es-ES"/>
        </w:rPr>
      </w:pPr>
      <w:r w:rsidRPr="00090791">
        <w:rPr>
          <w:lang w:val="es-ES"/>
        </w:rPr>
        <w:t xml:space="preserve">Abualoush, S, Masa’deh, R., Bataineh, K. and Alrowwad, A. (2018). </w:t>
      </w:r>
      <w:r w:rsidRPr="00090791">
        <w:rPr>
          <w:lang w:val="en-US"/>
        </w:rPr>
        <w:t>The role of knowledge management process and intellectual capital as intermediary variables between knowledge management infrastructure and organization performance.</w:t>
      </w:r>
      <w:r w:rsidRPr="00090791">
        <w:rPr>
          <w:lang w:val="es-ES"/>
        </w:rPr>
        <w:t xml:space="preserve"> </w:t>
      </w:r>
      <w:r w:rsidRPr="00090791">
        <w:rPr>
          <w:i/>
          <w:lang w:val="en-US"/>
        </w:rPr>
        <w:t>Interdisciplinary Journal of Information, Knowledge, and Management</w:t>
      </w:r>
      <w:r w:rsidRPr="00090791">
        <w:rPr>
          <w:lang w:val="es-ES"/>
        </w:rPr>
        <w:t xml:space="preserve">, </w:t>
      </w:r>
      <w:r w:rsidRPr="00090791">
        <w:rPr>
          <w:i/>
          <w:lang w:val="es-ES"/>
        </w:rPr>
        <w:t xml:space="preserve">13, </w:t>
      </w:r>
      <w:r w:rsidRPr="00090791">
        <w:rPr>
          <w:lang w:val="es-ES"/>
        </w:rPr>
        <w:t xml:space="preserve">279-309. </w:t>
      </w:r>
      <w:hyperlink r:id="rId8" w:history="1">
        <w:r w:rsidRPr="00090791">
          <w:rPr>
            <w:rStyle w:val="Hipervnculo"/>
            <w:lang w:val="es-ES"/>
          </w:rPr>
          <w:t>https://doi.org/10.28945/4088</w:t>
        </w:r>
      </w:hyperlink>
    </w:p>
    <w:p w14:paraId="098123FE" w14:textId="77777777" w:rsidR="00983984" w:rsidRPr="00090791" w:rsidRDefault="00983984" w:rsidP="002F576D">
      <w:pPr>
        <w:spacing w:line="360" w:lineRule="auto"/>
        <w:ind w:left="708" w:hanging="708"/>
        <w:jc w:val="both"/>
      </w:pPr>
      <w:r w:rsidRPr="00090791">
        <w:t xml:space="preserve">Almenares-Rodríguez, K., Álvarez-Lauzarique, M. E., Pría-Barros, M. del C., Quelle-Santana, L., Nodarse-Silva, J., Tenorio-Moirón, C. y Gálvez-Medina, D. (2022). Instrumento para identificar barreras ambientales percibidas por personas mayores en el contexto cubano. </w:t>
      </w:r>
      <w:r w:rsidRPr="00090791">
        <w:rPr>
          <w:i/>
        </w:rPr>
        <w:t>Revista Cubana de Medicina General Integral, 38</w:t>
      </w:r>
      <w:r w:rsidRPr="00090791">
        <w:t xml:space="preserve">(3), 1-17. </w:t>
      </w:r>
      <w:hyperlink r:id="rId9" w:history="1">
        <w:r w:rsidRPr="00090791">
          <w:rPr>
            <w:rStyle w:val="Hipervnculo"/>
          </w:rPr>
          <w:t>https://revmgi.sld.cu/index.php/mgi/article/view/1856</w:t>
        </w:r>
      </w:hyperlink>
    </w:p>
    <w:p w14:paraId="3A4E6B2A" w14:textId="77777777" w:rsidR="00983984" w:rsidRPr="00090791" w:rsidRDefault="00983984" w:rsidP="004E1440">
      <w:pPr>
        <w:spacing w:line="360" w:lineRule="auto"/>
        <w:ind w:left="708" w:hanging="708"/>
        <w:jc w:val="both"/>
        <w:rPr>
          <w:rStyle w:val="Hipervnculo"/>
        </w:rPr>
      </w:pPr>
      <w:r w:rsidRPr="00090791">
        <w:t xml:space="preserve">Álvarez-Ríos, J. N., Aristizábal-Vélez, P. A., Torres-Pavas, D. M. y Jurado-Alzate, V. (2019). Validación de un instrumento para medir la vulnerabilidad en relación con la capacidad de respuesta de la comunidad ante desastres. </w:t>
      </w:r>
      <w:r w:rsidRPr="00090791">
        <w:rPr>
          <w:i/>
        </w:rPr>
        <w:t>Revista Geográfica de América Central</w:t>
      </w:r>
      <w:r w:rsidRPr="00090791">
        <w:rPr>
          <w:iCs/>
        </w:rPr>
        <w:t>,</w:t>
      </w:r>
      <w:r w:rsidRPr="00090791">
        <w:rPr>
          <w:i/>
        </w:rPr>
        <w:t xml:space="preserve"> </w:t>
      </w:r>
      <w:r w:rsidRPr="00090791">
        <w:t xml:space="preserve">(62), 278-301.  </w:t>
      </w:r>
      <w:hyperlink r:id="rId10" w:history="1">
        <w:r w:rsidRPr="00090791">
          <w:rPr>
            <w:rStyle w:val="Hipervnculo"/>
          </w:rPr>
          <w:t>https://doi.org/10.15359/rgac.62-1.11</w:t>
        </w:r>
      </w:hyperlink>
    </w:p>
    <w:p w14:paraId="6D720452" w14:textId="37C665D0" w:rsidR="00983984" w:rsidRPr="00090791" w:rsidRDefault="00983984" w:rsidP="004E1440">
      <w:pPr>
        <w:spacing w:line="360" w:lineRule="auto"/>
        <w:ind w:left="708" w:hanging="708"/>
        <w:jc w:val="both"/>
        <w:rPr>
          <w:rStyle w:val="Hipervnculo"/>
          <w:color w:val="auto"/>
          <w:u w:val="none"/>
          <w:lang w:val="en-US"/>
        </w:rPr>
      </w:pPr>
      <w:r w:rsidRPr="00090791">
        <w:rPr>
          <w:rStyle w:val="Hipervnculo"/>
          <w:color w:val="auto"/>
          <w:u w:val="none"/>
        </w:rPr>
        <w:t xml:space="preserve">Ammar, M., Haleem, A., Javaid, M., Walia, R. </w:t>
      </w:r>
      <w:r w:rsidR="00BF35C6">
        <w:rPr>
          <w:rStyle w:val="Hipervnculo"/>
          <w:color w:val="auto"/>
          <w:u w:val="none"/>
        </w:rPr>
        <w:t>and</w:t>
      </w:r>
      <w:r w:rsidRPr="00090791">
        <w:rPr>
          <w:rStyle w:val="Hipervnculo"/>
          <w:color w:val="auto"/>
          <w:u w:val="none"/>
        </w:rPr>
        <w:t xml:space="preserve"> Bahl, S. (2021). </w:t>
      </w:r>
      <w:r w:rsidRPr="00090791">
        <w:rPr>
          <w:rStyle w:val="Hipervnculo"/>
          <w:color w:val="auto"/>
          <w:u w:val="none"/>
          <w:lang w:val="en-US"/>
        </w:rPr>
        <w:t xml:space="preserve">Improving material quality management and manufacturing organizations system through Industry 4.0 technologies. </w:t>
      </w:r>
      <w:r w:rsidRPr="00090791">
        <w:rPr>
          <w:rStyle w:val="Hipervnculo"/>
          <w:i/>
          <w:color w:val="auto"/>
          <w:u w:val="none"/>
          <w:lang w:val="en-US"/>
        </w:rPr>
        <w:t>Materials Today: Proceedings</w:t>
      </w:r>
      <w:r w:rsidRPr="00BF35C6">
        <w:rPr>
          <w:rStyle w:val="Hipervnculo"/>
          <w:iCs/>
          <w:color w:val="auto"/>
          <w:u w:val="none"/>
          <w:lang w:val="en-US"/>
        </w:rPr>
        <w:t>,</w:t>
      </w:r>
      <w:r w:rsidRPr="00090791">
        <w:rPr>
          <w:rStyle w:val="Hipervnculo"/>
          <w:i/>
          <w:color w:val="auto"/>
          <w:u w:val="none"/>
          <w:lang w:val="en-US"/>
        </w:rPr>
        <w:t xml:space="preserve"> 45, </w:t>
      </w:r>
      <w:r w:rsidRPr="00090791">
        <w:rPr>
          <w:rStyle w:val="Hipervnculo"/>
          <w:color w:val="auto"/>
          <w:u w:val="none"/>
          <w:lang w:val="en-US"/>
        </w:rPr>
        <w:t xml:space="preserve">5089-5096. </w:t>
      </w:r>
      <w:hyperlink r:id="rId11" w:history="1">
        <w:r w:rsidRPr="00090791">
          <w:rPr>
            <w:rStyle w:val="Hipervnculo"/>
            <w:color w:val="auto"/>
            <w:u w:val="none"/>
            <w:lang w:val="en-US"/>
          </w:rPr>
          <w:t>https://doi.org/10.1016/j.matpr.2021.01.585</w:t>
        </w:r>
      </w:hyperlink>
    </w:p>
    <w:p w14:paraId="4A1CA45E" w14:textId="77777777" w:rsidR="00983984" w:rsidRPr="00090791" w:rsidRDefault="00983984" w:rsidP="004E1440">
      <w:pPr>
        <w:spacing w:line="360" w:lineRule="auto"/>
        <w:ind w:left="708" w:hanging="708"/>
        <w:jc w:val="both"/>
      </w:pPr>
      <w:r w:rsidRPr="00090791">
        <w:t xml:space="preserve">Amon, C., King, J., Colclasure, J., Hodge, K. and DuBard, C. A. (2022). </w:t>
      </w:r>
      <w:r w:rsidRPr="00090791">
        <w:rPr>
          <w:lang w:val="en-US"/>
        </w:rPr>
        <w:t xml:space="preserve">Leveraging Accountable Care Organization infrastructure for rapid pandemic response in independent primary care practices. </w:t>
      </w:r>
      <w:r w:rsidRPr="00090791">
        <w:rPr>
          <w:i/>
          <w:lang w:val="en-US"/>
        </w:rPr>
        <w:t>Healthcare</w:t>
      </w:r>
      <w:r w:rsidRPr="00090791">
        <w:rPr>
          <w:i/>
        </w:rPr>
        <w:t>, 10</w:t>
      </w:r>
      <w:r w:rsidRPr="00090791">
        <w:t xml:space="preserve">, 1-5. </w:t>
      </w:r>
      <w:hyperlink r:id="rId12" w:history="1">
        <w:r w:rsidRPr="00090791">
          <w:rPr>
            <w:rStyle w:val="Hipervnculo"/>
          </w:rPr>
          <w:t>https://doi.org/10.1016/j.hjdsi.2022.100623</w:t>
        </w:r>
      </w:hyperlink>
    </w:p>
    <w:p w14:paraId="47DA7740" w14:textId="77777777" w:rsidR="00983984" w:rsidRPr="00090791" w:rsidRDefault="00983984" w:rsidP="004E1440">
      <w:pPr>
        <w:spacing w:line="360" w:lineRule="auto"/>
        <w:ind w:left="708" w:hanging="708"/>
        <w:jc w:val="both"/>
      </w:pPr>
      <w:r w:rsidRPr="00090791">
        <w:lastRenderedPageBreak/>
        <w:t xml:space="preserve">Ayala, Ñ. E. y Gonzales, S. S. (2015). </w:t>
      </w:r>
      <w:r w:rsidRPr="00090791">
        <w:rPr>
          <w:i/>
        </w:rPr>
        <w:t>Tecnologías de la información y la comunicación</w:t>
      </w:r>
      <w:r w:rsidRPr="00090791">
        <w:t xml:space="preserve">. Fondo Editorial de la UIGV. </w:t>
      </w:r>
      <w:hyperlink r:id="rId13" w:history="1">
        <w:r w:rsidRPr="00090791">
          <w:rPr>
            <w:rStyle w:val="Hipervnculo"/>
          </w:rPr>
          <w:t>http://repositorio.uigv.edu.pe/bitstream/handle/20.500.11818/1189/Libro%20TIC%20%282%29-1-76%20%281%29.pdf?sequence=1</w:t>
        </w:r>
      </w:hyperlink>
    </w:p>
    <w:p w14:paraId="231DA892" w14:textId="77777777" w:rsidR="00983984" w:rsidRPr="00090791" w:rsidRDefault="00983984" w:rsidP="004E1440">
      <w:pPr>
        <w:spacing w:line="360" w:lineRule="auto"/>
        <w:ind w:left="708" w:hanging="708"/>
        <w:jc w:val="both"/>
        <w:rPr>
          <w:rStyle w:val="Hipervnculo"/>
          <w:color w:val="auto"/>
          <w:u w:val="none"/>
        </w:rPr>
      </w:pPr>
      <w:r w:rsidRPr="00090791">
        <w:rPr>
          <w:rStyle w:val="Hipervnculo"/>
          <w:color w:val="auto"/>
          <w:u w:val="none"/>
        </w:rPr>
        <w:t xml:space="preserve">Barrera-Ovando, C. E., Chán-Quijano, J. G. y Hernández-Triano, L. (2023). Factores de la </w:t>
      </w:r>
      <w:r w:rsidRPr="00BF35C6">
        <w:rPr>
          <w:rStyle w:val="Hipervnculo"/>
          <w:color w:val="auto"/>
          <w:u w:val="none"/>
        </w:rPr>
        <w:t>cultura y del clima organizacional modificadores del desempeño del trabajador académico universitario: un modelo estructural ajustado</w:t>
      </w:r>
      <w:r w:rsidRPr="00090791">
        <w:rPr>
          <w:rStyle w:val="Hipervnculo"/>
          <w:color w:val="auto"/>
          <w:u w:val="none"/>
        </w:rPr>
        <w:t xml:space="preserve">. </w:t>
      </w:r>
      <w:r w:rsidRPr="00090791">
        <w:rPr>
          <w:rStyle w:val="Hipervnculo"/>
          <w:i/>
          <w:color w:val="auto"/>
          <w:u w:val="none"/>
        </w:rPr>
        <w:t>Hitos de Ciencias Económico Administrativas,</w:t>
      </w:r>
      <w:r w:rsidRPr="00090791">
        <w:rPr>
          <w:rStyle w:val="Hipervnculo"/>
          <w:color w:val="auto"/>
          <w:u w:val="none"/>
        </w:rPr>
        <w:t xml:space="preserve"> </w:t>
      </w:r>
      <w:r w:rsidRPr="00090791">
        <w:rPr>
          <w:rStyle w:val="Hipervnculo"/>
          <w:i/>
          <w:color w:val="auto"/>
          <w:u w:val="none"/>
        </w:rPr>
        <w:t>29</w:t>
      </w:r>
      <w:r w:rsidRPr="00090791">
        <w:rPr>
          <w:rStyle w:val="Hipervnculo"/>
          <w:color w:val="auto"/>
          <w:u w:val="none"/>
        </w:rPr>
        <w:t xml:space="preserve">(83), 123-147. </w:t>
      </w:r>
      <w:hyperlink r:id="rId14" w:history="1">
        <w:r w:rsidRPr="00090791">
          <w:rPr>
            <w:rStyle w:val="Hipervnculo"/>
            <w:color w:val="auto"/>
            <w:u w:val="none"/>
          </w:rPr>
          <w:t>https://doi.org/10.19136/hitos.a29n83.5667</w:t>
        </w:r>
      </w:hyperlink>
    </w:p>
    <w:p w14:paraId="43D8A61B" w14:textId="77777777" w:rsidR="00983984" w:rsidRPr="00090791" w:rsidRDefault="00983984" w:rsidP="004E1440">
      <w:pPr>
        <w:spacing w:line="360" w:lineRule="auto"/>
        <w:ind w:left="708" w:hanging="708"/>
        <w:jc w:val="both"/>
      </w:pPr>
      <w:r w:rsidRPr="00090791">
        <w:t xml:space="preserve">Bautista-Díaz, M. L., Franco-Paredes, K. y Hickman-Rodríguez, H. (2022). Objetividad, validez y confiabilidad: atributos científicos de los instrumentos de medición. </w:t>
      </w:r>
      <w:r w:rsidRPr="00090791">
        <w:rPr>
          <w:i/>
        </w:rPr>
        <w:t>Educación y Salud Boletín Científico Instituto de Ciencias de la Salud Universidad Autónoma del Estado de Hidalgo</w:t>
      </w:r>
      <w:r w:rsidRPr="00090791">
        <w:rPr>
          <w:iCs/>
        </w:rPr>
        <w:t>,</w:t>
      </w:r>
      <w:r w:rsidRPr="00090791">
        <w:rPr>
          <w:i/>
        </w:rPr>
        <w:t xml:space="preserve"> 11</w:t>
      </w:r>
      <w:r w:rsidRPr="00090791">
        <w:t xml:space="preserve">(21), 66-71. </w:t>
      </w:r>
      <w:hyperlink r:id="rId15" w:history="1">
        <w:r w:rsidRPr="00090791">
          <w:rPr>
            <w:rStyle w:val="Hipervnculo"/>
          </w:rPr>
          <w:t>https://doi.org/10.29057/icsa.v11i21.10048</w:t>
        </w:r>
      </w:hyperlink>
    </w:p>
    <w:p w14:paraId="69693512" w14:textId="77777777" w:rsidR="00983984" w:rsidRPr="00090791" w:rsidRDefault="00983984" w:rsidP="004E1440">
      <w:pPr>
        <w:spacing w:line="360" w:lineRule="auto"/>
        <w:ind w:left="708" w:hanging="708"/>
        <w:jc w:val="both"/>
        <w:rPr>
          <w:rStyle w:val="Hipervnculo"/>
        </w:rPr>
      </w:pPr>
      <w:r w:rsidRPr="00090791">
        <w:t xml:space="preserve">Bautista-Espinel, G. O., Velandia-Galvis, M. L., Ortega-Cadena, N., Amanda-Chaves, C., Ureña-Molina, M. del P. y Gonzales-Escobar, D. S. (2022). Adaptación cultural y validación del instrumento EMCC-14, de competencia cultural en profesionales de salud colombianos. </w:t>
      </w:r>
      <w:r w:rsidRPr="00090791">
        <w:rPr>
          <w:i/>
        </w:rPr>
        <w:t>Index de Enfermería, 31</w:t>
      </w:r>
      <w:r w:rsidRPr="00090791">
        <w:t xml:space="preserve">(2), 120-124. </w:t>
      </w:r>
      <w:hyperlink r:id="rId16" w:history="1">
        <w:r w:rsidRPr="00090791">
          <w:rPr>
            <w:rStyle w:val="Hipervnculo"/>
          </w:rPr>
          <w:t>https://scielo.isciii.es/scielo.php?script=sci_arttext&amp;pid=S113212962022000200015</w:t>
        </w:r>
      </w:hyperlink>
    </w:p>
    <w:p w14:paraId="0425D686" w14:textId="77777777" w:rsidR="00983984" w:rsidRPr="00090791" w:rsidRDefault="00983984" w:rsidP="004E1440">
      <w:pPr>
        <w:spacing w:line="360" w:lineRule="auto"/>
        <w:ind w:left="708" w:hanging="708"/>
        <w:jc w:val="both"/>
        <w:rPr>
          <w:rStyle w:val="Hipervnculo"/>
          <w:color w:val="auto"/>
          <w:u w:val="none"/>
        </w:rPr>
      </w:pPr>
      <w:r w:rsidRPr="00090791">
        <w:rPr>
          <w:rStyle w:val="Hipervnculo"/>
          <w:color w:val="auto"/>
          <w:u w:val="none"/>
        </w:rPr>
        <w:t xml:space="preserve">Bernal-García, M. I., Salamanca-Jiménez, D. R., Perez-Gutiérrez, N. y Quemba-Mesa, M. P. (2020). Validez de contenido por juicio de expertos de un instrumento para medir percepciones físico-emocionales en la práctica de disección anatómica. </w:t>
      </w:r>
      <w:r w:rsidRPr="00090791">
        <w:rPr>
          <w:rStyle w:val="Hipervnculo"/>
          <w:i/>
          <w:color w:val="auto"/>
          <w:u w:val="none"/>
        </w:rPr>
        <w:t>Educación Médica</w:t>
      </w:r>
      <w:r w:rsidRPr="00090791">
        <w:rPr>
          <w:rStyle w:val="Hipervnculo"/>
          <w:iCs/>
          <w:color w:val="auto"/>
          <w:u w:val="none"/>
        </w:rPr>
        <w:t>,</w:t>
      </w:r>
      <w:r w:rsidRPr="00090791">
        <w:rPr>
          <w:rStyle w:val="Hipervnculo"/>
          <w:i/>
          <w:color w:val="auto"/>
          <w:u w:val="none"/>
        </w:rPr>
        <w:t xml:space="preserve"> 21</w:t>
      </w:r>
      <w:r w:rsidRPr="00090791">
        <w:rPr>
          <w:rStyle w:val="Hipervnculo"/>
          <w:color w:val="auto"/>
          <w:u w:val="none"/>
        </w:rPr>
        <w:t xml:space="preserve">(6), 349-356. </w:t>
      </w:r>
      <w:hyperlink r:id="rId17" w:history="1">
        <w:r w:rsidRPr="00090791">
          <w:rPr>
            <w:rStyle w:val="Hipervnculo"/>
            <w:color w:val="auto"/>
            <w:u w:val="none"/>
          </w:rPr>
          <w:t>https://doi.org/10.1016/j.edumed.2018.08.008</w:t>
        </w:r>
      </w:hyperlink>
    </w:p>
    <w:p w14:paraId="3AA38422" w14:textId="77777777" w:rsidR="00983984" w:rsidRPr="00090791" w:rsidRDefault="00983984" w:rsidP="004E1440">
      <w:pPr>
        <w:spacing w:line="360" w:lineRule="auto"/>
        <w:ind w:left="708" w:hanging="708"/>
        <w:jc w:val="both"/>
      </w:pPr>
      <w:r w:rsidRPr="00090791">
        <w:t xml:space="preserve">Best, S. R., Ré, N. E., Corcoran, L. y McGuckin, C. (2021). Validez de contenido del Cuestionario de Ciberagresión. </w:t>
      </w:r>
      <w:r w:rsidRPr="00090791">
        <w:rPr>
          <w:i/>
        </w:rPr>
        <w:t>Revista Evaluar, 21</w:t>
      </w:r>
      <w:r w:rsidRPr="00090791">
        <w:t xml:space="preserve">(2), 1-16. </w:t>
      </w:r>
      <w:hyperlink r:id="rId18" w:history="1">
        <w:r w:rsidRPr="00090791">
          <w:rPr>
            <w:rStyle w:val="Hipervnculo"/>
          </w:rPr>
          <w:t>https://revistas.unc.edu.ar/index.php/revaluar</w:t>
        </w:r>
      </w:hyperlink>
    </w:p>
    <w:p w14:paraId="2E10E1B2" w14:textId="687CFE74" w:rsidR="00983984" w:rsidRPr="00090791" w:rsidRDefault="00983984" w:rsidP="004E1440">
      <w:pPr>
        <w:spacing w:line="360" w:lineRule="auto"/>
        <w:ind w:left="708" w:hanging="708"/>
        <w:jc w:val="both"/>
        <w:rPr>
          <w:rStyle w:val="Hipervnculo"/>
        </w:rPr>
      </w:pPr>
      <w:r w:rsidRPr="00090791">
        <w:rPr>
          <w:lang w:val="en-US"/>
        </w:rPr>
        <w:t xml:space="preserve">Bonett, D. G. </w:t>
      </w:r>
      <w:r w:rsidR="00BF35C6">
        <w:rPr>
          <w:lang w:val="en-US"/>
        </w:rPr>
        <w:t>and</w:t>
      </w:r>
      <w:r w:rsidRPr="00090791">
        <w:rPr>
          <w:lang w:val="en-US"/>
        </w:rPr>
        <w:t xml:space="preserve"> Wright, T. A. (2014). Cronbach’s alpha reliability: Interval estimation, hypothesis testing, and sample size planning. </w:t>
      </w:r>
      <w:r w:rsidRPr="00090791">
        <w:rPr>
          <w:i/>
          <w:lang w:val="en-US"/>
        </w:rPr>
        <w:t>Journal of Organizational Behavior</w:t>
      </w:r>
      <w:r w:rsidRPr="00090791">
        <w:t>,</w:t>
      </w:r>
      <w:r w:rsidR="00BF35C6">
        <w:t xml:space="preserve"> </w:t>
      </w:r>
      <w:r w:rsidR="00BF35C6" w:rsidRPr="00BF35C6">
        <w:rPr>
          <w:i/>
          <w:iCs/>
        </w:rPr>
        <w:t>36</w:t>
      </w:r>
      <w:r w:rsidR="00BF35C6">
        <w:t>(1),</w:t>
      </w:r>
      <w:r w:rsidRPr="00090791">
        <w:t xml:space="preserve"> 1-13. </w:t>
      </w:r>
      <w:hyperlink r:id="rId19" w:history="1">
        <w:r w:rsidRPr="00090791">
          <w:rPr>
            <w:rStyle w:val="Hipervnculo"/>
          </w:rPr>
          <w:t>https://doi.org/10.1002/job.1960</w:t>
        </w:r>
      </w:hyperlink>
    </w:p>
    <w:p w14:paraId="58AF3F3B" w14:textId="77777777" w:rsidR="00983984" w:rsidRPr="00BF35C6" w:rsidRDefault="00983984" w:rsidP="004E1440">
      <w:pPr>
        <w:spacing w:line="360" w:lineRule="auto"/>
        <w:ind w:left="708" w:hanging="708"/>
        <w:jc w:val="both"/>
        <w:rPr>
          <w:rStyle w:val="Hipervnculo"/>
          <w:color w:val="auto"/>
          <w:u w:val="none"/>
        </w:rPr>
      </w:pPr>
      <w:r w:rsidRPr="00090791">
        <w:rPr>
          <w:rStyle w:val="Hipervnculo"/>
          <w:color w:val="auto"/>
          <w:u w:val="none"/>
        </w:rPr>
        <w:t xml:space="preserve">Borboa-Álvarez, E. P. y Delhumeau-Rivera, S. (2016). Validez de contenido de un instrumento para medir la responsabilidad social de las empresas bancarias. </w:t>
      </w:r>
      <w:r w:rsidRPr="00090791">
        <w:rPr>
          <w:rStyle w:val="Hipervnculo"/>
          <w:i/>
          <w:color w:val="auto"/>
          <w:u w:val="none"/>
        </w:rPr>
        <w:t xml:space="preserve">Revista de Estudios en </w:t>
      </w:r>
      <w:r w:rsidRPr="00BF35C6">
        <w:rPr>
          <w:rStyle w:val="Hipervnculo"/>
          <w:i/>
          <w:color w:val="auto"/>
          <w:u w:val="none"/>
        </w:rPr>
        <w:t>Contaduría, Administración e Informática</w:t>
      </w:r>
      <w:r w:rsidRPr="00BF35C6">
        <w:rPr>
          <w:rStyle w:val="Hipervnculo"/>
          <w:color w:val="auto"/>
          <w:u w:val="none"/>
        </w:rPr>
        <w:t xml:space="preserve">, (12), 1-29. </w:t>
      </w:r>
      <w:hyperlink r:id="rId20" w:history="1">
        <w:r w:rsidRPr="00BF35C6">
          <w:rPr>
            <w:rStyle w:val="Hipervnculo"/>
            <w:color w:val="auto"/>
            <w:u w:val="none"/>
          </w:rPr>
          <w:t>https://www.redalyc.org/articulo.oa?id=637967183003</w:t>
        </w:r>
      </w:hyperlink>
    </w:p>
    <w:p w14:paraId="5619A4E8" w14:textId="77777777" w:rsidR="00983984" w:rsidRPr="00090791" w:rsidRDefault="00983984" w:rsidP="004E1440">
      <w:pPr>
        <w:spacing w:line="360" w:lineRule="auto"/>
        <w:ind w:left="708" w:hanging="708"/>
        <w:jc w:val="both"/>
      </w:pPr>
      <w:r w:rsidRPr="00090791">
        <w:t xml:space="preserve">Botello-Hermosa, A., García-Jiménez, M., Santana-Berlanga, N. del R. y Ruiz-Ferrón, C. (2019). Diseño y validación de un instrumento para medir los conocimientos y actitudes de las </w:t>
      </w:r>
      <w:r w:rsidRPr="00090791">
        <w:lastRenderedPageBreak/>
        <w:t xml:space="preserve">mujeres jóvenes ante la menstruación: escala METCON (BOTELLO-HERMOSA 2018). </w:t>
      </w:r>
      <w:r w:rsidRPr="00090791">
        <w:rPr>
          <w:i/>
        </w:rPr>
        <w:t>Feminismo/s</w:t>
      </w:r>
      <w:r w:rsidRPr="00090791">
        <w:t xml:space="preserve">, 33, 225-247. </w:t>
      </w:r>
      <w:hyperlink r:id="rId21" w:history="1">
        <w:r w:rsidRPr="00090791">
          <w:rPr>
            <w:rStyle w:val="Hipervnculo"/>
          </w:rPr>
          <w:t>https://doi.org/10.14198/fem.2019.33.09</w:t>
        </w:r>
      </w:hyperlink>
    </w:p>
    <w:p w14:paraId="30D83664" w14:textId="225E573F" w:rsidR="00983984" w:rsidRPr="00090791" w:rsidRDefault="00983984" w:rsidP="004E1440">
      <w:pPr>
        <w:spacing w:line="360" w:lineRule="auto"/>
        <w:ind w:left="708" w:hanging="708"/>
        <w:jc w:val="both"/>
        <w:rPr>
          <w:rStyle w:val="Hipervnculo"/>
        </w:rPr>
      </w:pPr>
      <w:r w:rsidRPr="00090791">
        <w:t xml:space="preserve">Candía, A. G. y Olivera, S. M. (2021). Índice de vulnerabilidad del sector salud en México: la infraestructura hospitalaria ante la COVID-19. </w:t>
      </w:r>
      <w:r w:rsidRPr="00090791">
        <w:rPr>
          <w:i/>
        </w:rPr>
        <w:t xml:space="preserve">Horizonte </w:t>
      </w:r>
      <w:r w:rsidR="00BF35C6">
        <w:rPr>
          <w:i/>
        </w:rPr>
        <w:t>S</w:t>
      </w:r>
      <w:r w:rsidRPr="00090791">
        <w:rPr>
          <w:i/>
        </w:rPr>
        <w:t>anitario</w:t>
      </w:r>
      <w:r w:rsidRPr="00090791">
        <w:rPr>
          <w:iCs/>
        </w:rPr>
        <w:t>,</w:t>
      </w:r>
      <w:r w:rsidRPr="00090791">
        <w:rPr>
          <w:i/>
        </w:rPr>
        <w:t xml:space="preserve"> 20</w:t>
      </w:r>
      <w:r w:rsidRPr="00090791">
        <w:t xml:space="preserve">(2), 218-225. </w:t>
      </w:r>
      <w:hyperlink r:id="rId22" w:history="1">
        <w:r w:rsidRPr="00090791">
          <w:rPr>
            <w:rStyle w:val="Hipervnculo"/>
          </w:rPr>
          <w:t>https://doi.org/10.19136/hs.a20n2.3891</w:t>
        </w:r>
      </w:hyperlink>
    </w:p>
    <w:p w14:paraId="71AB798F" w14:textId="77777777" w:rsidR="00983984" w:rsidRPr="00BF35C6" w:rsidRDefault="00983984" w:rsidP="004E1440">
      <w:pPr>
        <w:spacing w:line="360" w:lineRule="auto"/>
        <w:ind w:left="708" w:hanging="708"/>
        <w:jc w:val="both"/>
        <w:rPr>
          <w:rStyle w:val="Hipervnculo"/>
          <w:color w:val="auto"/>
          <w:u w:val="none"/>
        </w:rPr>
      </w:pPr>
      <w:r w:rsidRPr="00090791">
        <w:rPr>
          <w:rStyle w:val="Hipervnculo"/>
          <w:color w:val="auto"/>
          <w:u w:val="none"/>
        </w:rPr>
        <w:t xml:space="preserve">Contreras-Bravo, A. y González-Méndez, R. (2022). Validación de un instrumento evaluativo que mide la competencia lectora con grado de dificultad progresiva mediante la taxonomía de </w:t>
      </w:r>
      <w:r w:rsidRPr="00BF35C6">
        <w:rPr>
          <w:rStyle w:val="Hipervnculo"/>
          <w:color w:val="auto"/>
          <w:u w:val="none"/>
        </w:rPr>
        <w:t xml:space="preserve">Barret en estudiantes de segundo año medio. </w:t>
      </w:r>
      <w:r w:rsidRPr="00BF35C6">
        <w:rPr>
          <w:rStyle w:val="Hipervnculo"/>
          <w:i/>
          <w:color w:val="auto"/>
          <w:u w:val="none"/>
        </w:rPr>
        <w:t>Revista de Estudios y Experiencias en Educación, 21</w:t>
      </w:r>
      <w:r w:rsidRPr="00BF35C6">
        <w:rPr>
          <w:rStyle w:val="Hipervnculo"/>
          <w:color w:val="auto"/>
          <w:u w:val="none"/>
        </w:rPr>
        <w:t xml:space="preserve">(47), 75-95. </w:t>
      </w:r>
      <w:hyperlink r:id="rId23" w:history="1">
        <w:r w:rsidRPr="00BF35C6">
          <w:rPr>
            <w:rStyle w:val="Hipervnculo"/>
            <w:color w:val="auto"/>
            <w:u w:val="none"/>
          </w:rPr>
          <w:t>https://doi.org/10.21703/0718-5162202202102147004</w:t>
        </w:r>
      </w:hyperlink>
    </w:p>
    <w:p w14:paraId="5A635DFB" w14:textId="77777777" w:rsidR="00983984" w:rsidRPr="00090791" w:rsidRDefault="00983984" w:rsidP="004E1440">
      <w:pPr>
        <w:spacing w:line="360" w:lineRule="auto"/>
        <w:ind w:left="708" w:hanging="708"/>
        <w:jc w:val="both"/>
      </w:pPr>
      <w:r w:rsidRPr="00090791">
        <w:t xml:space="preserve">Cortina, J. M. (1993). </w:t>
      </w:r>
      <w:r w:rsidRPr="00090791">
        <w:rPr>
          <w:lang w:val="en-US"/>
        </w:rPr>
        <w:t xml:space="preserve">What Is Coefficient Alpha? An Examination of Theory and Applications. </w:t>
      </w:r>
      <w:r w:rsidRPr="00090791">
        <w:rPr>
          <w:i/>
          <w:lang w:val="en-US"/>
        </w:rPr>
        <w:t>Journal of Applied Psychology</w:t>
      </w:r>
      <w:r w:rsidRPr="00090791">
        <w:rPr>
          <w:iCs/>
        </w:rPr>
        <w:t>,</w:t>
      </w:r>
      <w:r w:rsidRPr="00090791">
        <w:rPr>
          <w:i/>
        </w:rPr>
        <w:t xml:space="preserve"> 78</w:t>
      </w:r>
      <w:r w:rsidRPr="00090791">
        <w:t xml:space="preserve">(1), 98-104. </w:t>
      </w:r>
      <w:hyperlink r:id="rId24" w:history="1">
        <w:r w:rsidRPr="00090791">
          <w:rPr>
            <w:rStyle w:val="Hipervnculo"/>
          </w:rPr>
          <w:t>https://doi.org/10.1037/0021-9010.78.1.98</w:t>
        </w:r>
      </w:hyperlink>
    </w:p>
    <w:p w14:paraId="311949EA" w14:textId="77777777" w:rsidR="00983984" w:rsidRPr="00090791" w:rsidRDefault="00983984" w:rsidP="004E1440">
      <w:pPr>
        <w:spacing w:line="360" w:lineRule="auto"/>
        <w:ind w:left="708" w:hanging="708"/>
        <w:jc w:val="both"/>
        <w:rPr>
          <w:rStyle w:val="Hipervnculo"/>
        </w:rPr>
      </w:pPr>
      <w:r w:rsidRPr="00090791">
        <w:rPr>
          <w:lang w:val="en-US"/>
        </w:rPr>
        <w:t xml:space="preserve">De Clifford-Faugère, G., Laporte, G., Gélinas, C., Lavallée, A., Fontaine, G., Feeley, N., Colson, S. and Aita, M. (2022). French Translation, Adaptation, and Initial Validation of the Nurses’ Attitudes and Perceptions of Pain Assessment in Neonatal Intensive Care Questionnaire (NAPPAQ). </w:t>
      </w:r>
      <w:r w:rsidRPr="00090791">
        <w:rPr>
          <w:i/>
          <w:lang w:val="en-US"/>
        </w:rPr>
        <w:t>Pain Management Nursing</w:t>
      </w:r>
      <w:r w:rsidRPr="00090791">
        <w:rPr>
          <w:i/>
        </w:rPr>
        <w:t>, 23</w:t>
      </w:r>
      <w:r w:rsidRPr="00090791">
        <w:t xml:space="preserve">(2), 204-211. </w:t>
      </w:r>
      <w:hyperlink r:id="rId25" w:history="1">
        <w:r w:rsidRPr="00090791">
          <w:rPr>
            <w:rStyle w:val="Hipervnculo"/>
          </w:rPr>
          <w:t>https://doi.org/10.1016/j.pmn.2021.04.003</w:t>
        </w:r>
      </w:hyperlink>
    </w:p>
    <w:p w14:paraId="323566C8" w14:textId="77777777" w:rsidR="00983984" w:rsidRPr="00090791" w:rsidRDefault="00983984" w:rsidP="004E1440">
      <w:pPr>
        <w:spacing w:line="360" w:lineRule="auto"/>
        <w:ind w:left="708" w:hanging="708"/>
        <w:jc w:val="both"/>
      </w:pPr>
      <w:r w:rsidRPr="00090791">
        <w:rPr>
          <w:lang w:val="en-US"/>
        </w:rPr>
        <w:t xml:space="preserve">De Groot, B., Gorr, N. D. N., Kret, M. E., Rieffe, C., Tsou, Y. T. and Mendoza-Straffon, L. (2023). Development and preliminary validation of a questionnaire to measure parental support for drawing. </w:t>
      </w:r>
      <w:r w:rsidRPr="00090791">
        <w:rPr>
          <w:i/>
          <w:lang w:val="en-US"/>
        </w:rPr>
        <w:t>Thinking Skills and Creativity</w:t>
      </w:r>
      <w:r w:rsidRPr="00090791">
        <w:rPr>
          <w:i/>
        </w:rPr>
        <w:t>, 47</w:t>
      </w:r>
      <w:r w:rsidRPr="00090791">
        <w:t xml:space="preserve">, 1-14. </w:t>
      </w:r>
      <w:hyperlink r:id="rId26" w:history="1">
        <w:r w:rsidRPr="00090791">
          <w:rPr>
            <w:rStyle w:val="Hipervnculo"/>
          </w:rPr>
          <w:t>https://doi.org/10.1016/j.tsc.2022.101228</w:t>
        </w:r>
      </w:hyperlink>
    </w:p>
    <w:p w14:paraId="45B4D927" w14:textId="77777777" w:rsidR="00983984" w:rsidRPr="00090791" w:rsidRDefault="00983984" w:rsidP="004E1440">
      <w:pPr>
        <w:spacing w:line="360" w:lineRule="auto"/>
        <w:ind w:left="708" w:hanging="708"/>
        <w:jc w:val="both"/>
      </w:pPr>
      <w:r w:rsidRPr="00090791">
        <w:rPr>
          <w:lang w:val="en-US"/>
        </w:rPr>
        <w:t xml:space="preserve">De Oliveira, D. P., Ribeiro-Dantas, M. L., Cyreneu-da Silva, D. and Dos Santos-Celestino, M. (2018). Application of importance and performance matrix to assess the quality of services provided by business incubators. </w:t>
      </w:r>
      <w:r w:rsidRPr="00090791">
        <w:rPr>
          <w:i/>
          <w:lang w:val="en-US"/>
        </w:rPr>
        <w:t>Iberoamerican Journal of Entrepreneurship and Small Business</w:t>
      </w:r>
      <w:r w:rsidRPr="00090791">
        <w:rPr>
          <w:i/>
        </w:rPr>
        <w:t>, 7</w:t>
      </w:r>
      <w:r w:rsidRPr="00090791">
        <w:t xml:space="preserve">(3), 1-29. </w:t>
      </w:r>
      <w:hyperlink r:id="rId27" w:history="1">
        <w:r w:rsidRPr="00090791">
          <w:rPr>
            <w:rStyle w:val="Hipervnculo"/>
          </w:rPr>
          <w:t>https://doi.org/10.14211/regepe.v7i3.704</w:t>
        </w:r>
      </w:hyperlink>
    </w:p>
    <w:p w14:paraId="45FB867C" w14:textId="77777777" w:rsidR="00983984" w:rsidRPr="00090791" w:rsidRDefault="00983984" w:rsidP="004E1440">
      <w:pPr>
        <w:spacing w:line="360" w:lineRule="auto"/>
        <w:ind w:left="708" w:hanging="708"/>
        <w:jc w:val="both"/>
        <w:rPr>
          <w:rStyle w:val="Hipervnculo"/>
        </w:rPr>
      </w:pPr>
      <w:r w:rsidRPr="00090791">
        <w:t xml:space="preserve">Dorantes-Nova, J. A., Hernández-Mosqueda, J. S. y Tobón-Tobón, S. (2016). Juicio de expertos para la validación de un instrumento de medición del síndrome de burnout en la docencia. </w:t>
      </w:r>
      <w:r w:rsidRPr="00090791">
        <w:rPr>
          <w:i/>
        </w:rPr>
        <w:t>Ra Ximhai, 12</w:t>
      </w:r>
      <w:r w:rsidRPr="00090791">
        <w:t xml:space="preserve">(6), 327-346. </w:t>
      </w:r>
      <w:hyperlink r:id="rId28" w:history="1">
        <w:r w:rsidRPr="00090791">
          <w:rPr>
            <w:rStyle w:val="Hipervnculo"/>
          </w:rPr>
          <w:t>https://www.researchgate.net/publication/309735958_Juicio_de_expertos_para_la_validacion_de_un_instrumento_de_medicion_del_sindrome_de_burnout_en_la_docencia</w:t>
        </w:r>
      </w:hyperlink>
    </w:p>
    <w:p w14:paraId="5D630A4D" w14:textId="77777777" w:rsidR="00983984" w:rsidRPr="00090791" w:rsidRDefault="00983984" w:rsidP="004E1440">
      <w:pPr>
        <w:spacing w:line="360" w:lineRule="auto"/>
        <w:ind w:left="708" w:hanging="708"/>
        <w:jc w:val="both"/>
        <w:rPr>
          <w:rStyle w:val="Hipervnculo"/>
          <w:color w:val="auto"/>
          <w:u w:val="none"/>
          <w:lang w:val="en-US"/>
        </w:rPr>
      </w:pPr>
      <w:r w:rsidRPr="00090791">
        <w:rPr>
          <w:rStyle w:val="Hipervnculo"/>
          <w:color w:val="auto"/>
          <w:u w:val="none"/>
          <w:lang w:val="en-US"/>
        </w:rPr>
        <w:t xml:space="preserve">Dueñas-Peña, A., Campo-Espinosa, C. </w:t>
      </w:r>
      <w:r w:rsidRPr="00BF35C6">
        <w:rPr>
          <w:rStyle w:val="Hipervnculo"/>
          <w:color w:val="auto"/>
          <w:u w:val="none"/>
          <w:lang w:val="en-US"/>
        </w:rPr>
        <w:t xml:space="preserve">and </w:t>
      </w:r>
      <w:r w:rsidRPr="00090791">
        <w:rPr>
          <w:rStyle w:val="Hipervnculo"/>
          <w:color w:val="auto"/>
          <w:u w:val="none"/>
          <w:lang w:val="en-US"/>
        </w:rPr>
        <w:t xml:space="preserve">Veloza-Lancheros, C. K. (2022). Analysis of Microcredits Impact and Other Types of Financing on Microenterprises in Bogota: Measuring Instruments and Their Validation. </w:t>
      </w:r>
      <w:r w:rsidRPr="00090791">
        <w:rPr>
          <w:rStyle w:val="Hipervnculo"/>
          <w:i/>
          <w:color w:val="auto"/>
          <w:u w:val="none"/>
          <w:lang w:val="en-US"/>
        </w:rPr>
        <w:t>Journal of Language and Linguistic Studies, 18</w:t>
      </w:r>
      <w:r w:rsidRPr="00090791">
        <w:rPr>
          <w:rStyle w:val="Hipervnculo"/>
          <w:color w:val="auto"/>
          <w:u w:val="none"/>
          <w:lang w:val="en-US"/>
        </w:rPr>
        <w:t xml:space="preserve">(4), 292-309. </w:t>
      </w:r>
      <w:hyperlink r:id="rId29" w:history="1">
        <w:r w:rsidRPr="00090791">
          <w:rPr>
            <w:rStyle w:val="Hipervnculo"/>
            <w:color w:val="auto"/>
            <w:u w:val="none"/>
            <w:lang w:val="en-US"/>
          </w:rPr>
          <w:t>https://www.jlls.org/index.php/jlls/article/view/4986</w:t>
        </w:r>
      </w:hyperlink>
    </w:p>
    <w:p w14:paraId="3B8F2236" w14:textId="77777777" w:rsidR="00983984" w:rsidRPr="00090791" w:rsidRDefault="00983984" w:rsidP="004E1440">
      <w:pPr>
        <w:spacing w:line="360" w:lineRule="auto"/>
        <w:ind w:left="708" w:hanging="708"/>
        <w:jc w:val="both"/>
      </w:pPr>
      <w:r w:rsidRPr="00090791">
        <w:t xml:space="preserve">Durán-Pérez, F. B. y Lara-Abad, G. E. (2021). Aplicación del coeficiente de confiabilidad de Kuder Richardson en una escala para la revisión y prevención de los efectos de las rutinas. Impacto </w:t>
      </w:r>
      <w:r w:rsidRPr="00090791">
        <w:lastRenderedPageBreak/>
        <w:t xml:space="preserve">de la pandemia derivada del covid-19. </w:t>
      </w:r>
      <w:r w:rsidRPr="00090791">
        <w:rPr>
          <w:i/>
        </w:rPr>
        <w:t>Boletín Científico de la Escuela Superior Atotonilco de Tula, 8</w:t>
      </w:r>
      <w:r w:rsidRPr="00090791">
        <w:t xml:space="preserve">(15), 51-55. </w:t>
      </w:r>
      <w:hyperlink r:id="rId30" w:history="1">
        <w:r w:rsidRPr="00090791">
          <w:rPr>
            <w:rStyle w:val="Hipervnculo"/>
          </w:rPr>
          <w:t>https://doi.org/10.29057/esat.v8i15.6693</w:t>
        </w:r>
      </w:hyperlink>
    </w:p>
    <w:p w14:paraId="7D203D37" w14:textId="77777777" w:rsidR="00983984" w:rsidRPr="00090791" w:rsidRDefault="00983984" w:rsidP="004E1440">
      <w:pPr>
        <w:spacing w:line="360" w:lineRule="auto"/>
        <w:ind w:left="708" w:hanging="708"/>
        <w:jc w:val="both"/>
      </w:pPr>
      <w:r w:rsidRPr="00090791">
        <w:rPr>
          <w:lang w:val="en-US"/>
        </w:rPr>
        <w:t xml:space="preserve">Elangovan, N. and Sundaravel, E. (2021). Method of preparing a document for survey instrument validation by experts. </w:t>
      </w:r>
      <w:r w:rsidRPr="00090791">
        <w:rPr>
          <w:i/>
          <w:lang w:val="en-US"/>
        </w:rPr>
        <w:t>MethodsX</w:t>
      </w:r>
      <w:r w:rsidRPr="00090791">
        <w:rPr>
          <w:i/>
        </w:rPr>
        <w:t>, 8</w:t>
      </w:r>
      <w:r w:rsidRPr="00090791">
        <w:t xml:space="preserve">, 1-9. </w:t>
      </w:r>
      <w:hyperlink r:id="rId31" w:history="1">
        <w:r w:rsidRPr="00090791">
          <w:rPr>
            <w:rStyle w:val="Hipervnculo"/>
          </w:rPr>
          <w:t>https://doi.org/10.1016/j.mex.2021.101326</w:t>
        </w:r>
      </w:hyperlink>
    </w:p>
    <w:p w14:paraId="58D971BF" w14:textId="77777777" w:rsidR="00983984" w:rsidRPr="00090791" w:rsidRDefault="00983984" w:rsidP="004E1440">
      <w:pPr>
        <w:spacing w:line="360" w:lineRule="auto"/>
        <w:ind w:left="708" w:hanging="708"/>
        <w:jc w:val="both"/>
      </w:pPr>
      <w:r w:rsidRPr="00090791">
        <w:t xml:space="preserve">Escobar-Pérez, J. y Cuervo-Martínez, A. (2008). Validez de contenido y juicio de expertos: una aproximación a su utilización. </w:t>
      </w:r>
      <w:r w:rsidRPr="00090791">
        <w:rPr>
          <w:i/>
        </w:rPr>
        <w:t>Avances en Medición</w:t>
      </w:r>
      <w:r w:rsidRPr="00090791">
        <w:rPr>
          <w:iCs/>
        </w:rPr>
        <w:t>,</w:t>
      </w:r>
      <w:r w:rsidRPr="00090791">
        <w:rPr>
          <w:i/>
        </w:rPr>
        <w:t xml:space="preserve"> </w:t>
      </w:r>
      <w:r w:rsidRPr="00090791">
        <w:t xml:space="preserve">(6), 27-36. </w:t>
      </w:r>
      <w:hyperlink r:id="rId32" w:history="1">
        <w:r w:rsidRPr="00090791">
          <w:rPr>
            <w:rStyle w:val="Hipervnculo"/>
          </w:rPr>
          <w:t>https://www.researchgate.net/publication/302438451_Validez_de_contenido_y_juicio_de_expertos_Una_aproximacion_a_su_utilizacion</w:t>
        </w:r>
      </w:hyperlink>
    </w:p>
    <w:p w14:paraId="28ED9583" w14:textId="77777777" w:rsidR="00983984" w:rsidRPr="00090791" w:rsidRDefault="00983984" w:rsidP="004E1440">
      <w:pPr>
        <w:spacing w:line="360" w:lineRule="auto"/>
        <w:ind w:left="708" w:hanging="708"/>
        <w:jc w:val="both"/>
      </w:pPr>
      <w:r w:rsidRPr="00090791">
        <w:t xml:space="preserve">Fernández-Hernández, J. L., Herranz-Hernández, P. y Segovia-Torres, L. (2022). Actitudes de los profesionales de la salud mental ante la capacidad y el internamiento no voluntario en anorexia nerviosa: construcción, validación y resultados del cuestionario. </w:t>
      </w:r>
      <w:r w:rsidRPr="00090791">
        <w:rPr>
          <w:i/>
        </w:rPr>
        <w:t>ACINOVAN. Revista Colombiana de Psiquiatría, 51</w:t>
      </w:r>
      <w:r w:rsidRPr="00090791">
        <w:t xml:space="preserve">(3), 168-175. </w:t>
      </w:r>
      <w:hyperlink r:id="rId33" w:history="1">
        <w:r w:rsidRPr="00090791">
          <w:rPr>
            <w:rStyle w:val="Hipervnculo"/>
          </w:rPr>
          <w:t>https://doi.org/10.1016/j.rcp.2020.11.010</w:t>
        </w:r>
      </w:hyperlink>
    </w:p>
    <w:p w14:paraId="3D8D965C" w14:textId="77777777" w:rsidR="00983984" w:rsidRPr="00090791" w:rsidRDefault="00983984" w:rsidP="004E1440">
      <w:pPr>
        <w:spacing w:line="360" w:lineRule="auto"/>
        <w:ind w:left="708" w:hanging="708"/>
        <w:jc w:val="both"/>
      </w:pPr>
      <w:r w:rsidRPr="00090791">
        <w:rPr>
          <w:lang w:val="en-US"/>
        </w:rPr>
        <w:t xml:space="preserve">Frederiksen, N., Gottlieb, S. C. and Leiringer, R. (2021). Organising for infrastructure development programmers: Governing internal logic multiplicity across organizational spaces. </w:t>
      </w:r>
      <w:r w:rsidRPr="00090791">
        <w:rPr>
          <w:i/>
          <w:lang w:val="en-US"/>
        </w:rPr>
        <w:t>International Journal of Project Management</w:t>
      </w:r>
      <w:r w:rsidRPr="00090791">
        <w:rPr>
          <w:i/>
        </w:rPr>
        <w:t>, 39</w:t>
      </w:r>
      <w:r w:rsidRPr="00090791">
        <w:t xml:space="preserve">, 223-235. </w:t>
      </w:r>
      <w:hyperlink r:id="rId34" w:history="1">
        <w:r w:rsidRPr="00090791">
          <w:rPr>
            <w:rStyle w:val="Hipervnculo"/>
          </w:rPr>
          <w:t>https://doi.org/10.1016/j.ijproman.2021.01.004</w:t>
        </w:r>
      </w:hyperlink>
    </w:p>
    <w:p w14:paraId="7BCE241B" w14:textId="77777777" w:rsidR="00983984" w:rsidRPr="00090791" w:rsidRDefault="00983984" w:rsidP="004E1440">
      <w:pPr>
        <w:spacing w:line="360" w:lineRule="auto"/>
        <w:ind w:left="708" w:hanging="708"/>
        <w:jc w:val="both"/>
      </w:pPr>
      <w:r w:rsidRPr="00090791">
        <w:t xml:space="preserve">Gallo-León, J. P. (2017). La evaluación de infraestructuras y edificios de biblioteca: Faulkner-Brown frente al cuestionario de la IFLA. </w:t>
      </w:r>
      <w:r w:rsidRPr="00090791">
        <w:rPr>
          <w:i/>
        </w:rPr>
        <w:t>Investigación Bibliotecológica: Archivonomía, Bibliotecología e Información, 31</w:t>
      </w:r>
      <w:r w:rsidRPr="00090791">
        <w:t xml:space="preserve">(72), 81-111. </w:t>
      </w:r>
      <w:hyperlink r:id="rId35" w:history="1">
        <w:r w:rsidRPr="00090791">
          <w:rPr>
            <w:rStyle w:val="Hipervnculo"/>
          </w:rPr>
          <w:t>https://doi.org/10.22201/iibi.0187358xp.2017.72.57825</w:t>
        </w:r>
      </w:hyperlink>
    </w:p>
    <w:p w14:paraId="2E4C1419" w14:textId="77777777" w:rsidR="00983984" w:rsidRPr="00090791" w:rsidRDefault="00983984" w:rsidP="004E1440">
      <w:pPr>
        <w:spacing w:line="360" w:lineRule="auto"/>
        <w:ind w:left="708" w:hanging="708"/>
        <w:jc w:val="both"/>
      </w:pPr>
      <w:r w:rsidRPr="00090791">
        <w:t xml:space="preserve">García-Depestre, R. A., Dávila-Medina, L. y Alba-Moya, J. E. (2021). Indicaciones sobre la evaluación de la infraestructura de carreteras para Cuba. </w:t>
      </w:r>
      <w:r w:rsidRPr="00090791">
        <w:rPr>
          <w:i/>
        </w:rPr>
        <w:t>Revista de Arquitectura e Ingeniería</w:t>
      </w:r>
      <w:r w:rsidRPr="00090791">
        <w:rPr>
          <w:iCs/>
        </w:rPr>
        <w:t>,</w:t>
      </w:r>
      <w:r w:rsidRPr="00090791">
        <w:t xml:space="preserve"> (3), 1-12. </w:t>
      </w:r>
      <w:hyperlink r:id="rId36" w:history="1">
        <w:r w:rsidRPr="00090791">
          <w:rPr>
            <w:rStyle w:val="Hipervnculo"/>
          </w:rPr>
          <w:t>https://www.redalyc.org/articulo.oa?id=193969257006</w:t>
        </w:r>
      </w:hyperlink>
    </w:p>
    <w:p w14:paraId="37ABD953" w14:textId="77777777" w:rsidR="00983984" w:rsidRPr="00BF35C6" w:rsidRDefault="00983984" w:rsidP="004E1440">
      <w:pPr>
        <w:spacing w:line="360" w:lineRule="auto"/>
        <w:ind w:left="708" w:hanging="708"/>
        <w:jc w:val="both"/>
        <w:rPr>
          <w:rStyle w:val="Hipervnculo"/>
          <w:color w:val="auto"/>
          <w:u w:val="none"/>
        </w:rPr>
      </w:pPr>
      <w:r w:rsidRPr="00090791">
        <w:rPr>
          <w:rStyle w:val="Hipervnculo"/>
          <w:color w:val="auto"/>
          <w:u w:val="none"/>
        </w:rPr>
        <w:t xml:space="preserve">Girarte-Guillén, J. L. y Del Valle-López, J. A. (2020). Validación de un instrumento sobre </w:t>
      </w:r>
      <w:r w:rsidRPr="00BF35C6">
        <w:rPr>
          <w:rStyle w:val="Hipervnculo"/>
          <w:color w:val="auto"/>
          <w:u w:val="none"/>
        </w:rPr>
        <w:t xml:space="preserve">habilidades informativas. </w:t>
      </w:r>
      <w:r w:rsidRPr="00BF35C6">
        <w:rPr>
          <w:rStyle w:val="Hipervnculo"/>
          <w:i/>
          <w:color w:val="auto"/>
          <w:u w:val="none"/>
        </w:rPr>
        <w:t>Apertura. Revista de Innovación Educativa, 12</w:t>
      </w:r>
      <w:r w:rsidRPr="00BF35C6">
        <w:rPr>
          <w:rStyle w:val="Hipervnculo"/>
          <w:color w:val="auto"/>
          <w:u w:val="none"/>
        </w:rPr>
        <w:t xml:space="preserve">(1), 152-162. </w:t>
      </w:r>
      <w:hyperlink r:id="rId37" w:history="1">
        <w:r w:rsidRPr="00BF35C6">
          <w:rPr>
            <w:rStyle w:val="Hipervnculo"/>
            <w:color w:val="auto"/>
            <w:u w:val="none"/>
          </w:rPr>
          <w:t>http://dx.doi.org/10.32870/Ap.v12n1.1812</w:t>
        </w:r>
      </w:hyperlink>
    </w:p>
    <w:p w14:paraId="56BD219D" w14:textId="77777777" w:rsidR="00983984" w:rsidRPr="00090791" w:rsidRDefault="00983984" w:rsidP="004E1440">
      <w:pPr>
        <w:spacing w:line="360" w:lineRule="auto"/>
        <w:ind w:left="708" w:hanging="708"/>
        <w:jc w:val="both"/>
        <w:rPr>
          <w:rStyle w:val="Hipervnculo"/>
        </w:rPr>
      </w:pPr>
      <w:r w:rsidRPr="00090791">
        <w:t xml:space="preserve">Hernández-Sampieri, R., Fernández-Collado, C. y Baptista-Lucio, M. del P. (2014). </w:t>
      </w:r>
      <w:r w:rsidRPr="00090791">
        <w:rPr>
          <w:i/>
          <w:iCs/>
        </w:rPr>
        <w:t>Metodología de la investigación</w:t>
      </w:r>
      <w:r w:rsidRPr="00090791">
        <w:t xml:space="preserve">. McGraw-Hill. </w:t>
      </w:r>
      <w:hyperlink r:id="rId38" w:history="1">
        <w:r w:rsidRPr="00090791">
          <w:rPr>
            <w:rStyle w:val="Hipervnculo"/>
          </w:rPr>
          <w:t>https://www.uca.ac.cr/wp-content/uploads/2017/10/Investigacion.pdf</w:t>
        </w:r>
      </w:hyperlink>
    </w:p>
    <w:p w14:paraId="30BF636C" w14:textId="77777777" w:rsidR="00983984" w:rsidRPr="00BF35C6" w:rsidRDefault="00983984" w:rsidP="004E1440">
      <w:pPr>
        <w:spacing w:line="360" w:lineRule="auto"/>
        <w:ind w:left="708" w:hanging="708"/>
        <w:jc w:val="both"/>
        <w:rPr>
          <w:rStyle w:val="Hipervnculo"/>
          <w:color w:val="auto"/>
          <w:u w:val="none"/>
        </w:rPr>
      </w:pPr>
      <w:r w:rsidRPr="00BF35C6">
        <w:rPr>
          <w:rStyle w:val="Hipervnculo"/>
          <w:color w:val="auto"/>
          <w:u w:val="none"/>
        </w:rPr>
        <w:t xml:space="preserve">Hong-Zhang, X. and Yan-Li, Ch. (2022). </w:t>
      </w:r>
      <w:r w:rsidRPr="00BF35C6">
        <w:rPr>
          <w:rStyle w:val="Hipervnculo"/>
          <w:color w:val="auto"/>
          <w:u w:val="none"/>
          <w:lang w:val="en-US"/>
        </w:rPr>
        <w:t xml:space="preserve">Research on the Influencing Factors of Problem-Driven Children’s Deep Learning. </w:t>
      </w:r>
      <w:r w:rsidRPr="00BF35C6">
        <w:rPr>
          <w:rStyle w:val="Hipervnculo"/>
          <w:i/>
          <w:color w:val="auto"/>
          <w:u w:val="none"/>
          <w:lang w:val="en-US"/>
        </w:rPr>
        <w:t>Frontiers in Psychology</w:t>
      </w:r>
      <w:r w:rsidRPr="00BF35C6">
        <w:rPr>
          <w:rStyle w:val="Hipervnculo"/>
          <w:i/>
          <w:color w:val="auto"/>
          <w:u w:val="none"/>
        </w:rPr>
        <w:t>, 13</w:t>
      </w:r>
      <w:r w:rsidRPr="00BF35C6">
        <w:rPr>
          <w:rStyle w:val="Hipervnculo"/>
          <w:color w:val="auto"/>
          <w:u w:val="none"/>
        </w:rPr>
        <w:t xml:space="preserve">, 1-7. </w:t>
      </w:r>
      <w:hyperlink r:id="rId39" w:history="1">
        <w:r w:rsidRPr="00BF35C6">
          <w:rPr>
            <w:rStyle w:val="Hipervnculo"/>
            <w:color w:val="auto"/>
            <w:u w:val="none"/>
          </w:rPr>
          <w:t>https://doi.org/10.3389/fpsyg.2022.764121</w:t>
        </w:r>
      </w:hyperlink>
    </w:p>
    <w:p w14:paraId="3955E27A" w14:textId="77777777" w:rsidR="00983984" w:rsidRPr="00090791" w:rsidRDefault="00983984" w:rsidP="004E1440">
      <w:pPr>
        <w:spacing w:line="360" w:lineRule="auto"/>
        <w:ind w:left="708" w:hanging="708"/>
        <w:jc w:val="both"/>
        <w:rPr>
          <w:rStyle w:val="Hipervnculo"/>
        </w:rPr>
      </w:pPr>
      <w:r w:rsidRPr="00090791">
        <w:rPr>
          <w:lang w:val="en-US"/>
        </w:rPr>
        <w:lastRenderedPageBreak/>
        <w:t>International Organization for Standardization</w:t>
      </w:r>
      <w:r w:rsidRPr="00090791">
        <w:t xml:space="preserve"> [ISO]. (2018). </w:t>
      </w:r>
      <w:r w:rsidRPr="00090791">
        <w:rPr>
          <w:i/>
        </w:rPr>
        <w:t>ISO 27000:2018</w:t>
      </w:r>
      <w:r w:rsidRPr="00090791">
        <w:t xml:space="preserve"> </w:t>
      </w:r>
      <w:r w:rsidRPr="00090791">
        <w:rPr>
          <w:i/>
          <w:lang w:val="en-US"/>
        </w:rPr>
        <w:t>Information technology — Security techniques — Information security management systems — Overview and vocabulary</w:t>
      </w:r>
      <w:r w:rsidRPr="00090791">
        <w:t xml:space="preserve">. Ginebra: Suiza. </w:t>
      </w:r>
      <w:hyperlink r:id="rId40" w:history="1">
        <w:r w:rsidRPr="00090791">
          <w:rPr>
            <w:rStyle w:val="Hipervnculo"/>
          </w:rPr>
          <w:t>https://akela.mendelu.cz/~lidak/IPI/ISO_IEC_27000_2018.pdf</w:t>
        </w:r>
      </w:hyperlink>
    </w:p>
    <w:p w14:paraId="2EDE3DA9" w14:textId="77777777" w:rsidR="00983984" w:rsidRPr="00090791" w:rsidRDefault="00983984" w:rsidP="004E1440">
      <w:pPr>
        <w:spacing w:line="360" w:lineRule="auto"/>
        <w:ind w:left="708" w:hanging="708"/>
        <w:jc w:val="both"/>
      </w:pPr>
      <w:r w:rsidRPr="00090791">
        <w:rPr>
          <w:lang w:val="en-US"/>
        </w:rPr>
        <w:t xml:space="preserve">Kobeissi, M. M. and Hickey, J. V. (2023). An Infrastructure to Provide Safer, Higher-Quality, and More Equitable Telehealth. </w:t>
      </w:r>
      <w:r w:rsidRPr="00090791">
        <w:rPr>
          <w:i/>
          <w:lang w:val="en-US"/>
        </w:rPr>
        <w:t>The Joint Commission Journal on Quality and Patient Safety</w:t>
      </w:r>
      <w:r w:rsidRPr="00090791">
        <w:t xml:space="preserve">, </w:t>
      </w:r>
      <w:r w:rsidRPr="00090791">
        <w:rPr>
          <w:i/>
          <w:iCs/>
        </w:rPr>
        <w:t>49</w:t>
      </w:r>
      <w:r w:rsidRPr="00090791">
        <w:t xml:space="preserve">, 213-222. </w:t>
      </w:r>
      <w:hyperlink r:id="rId41" w:history="1">
        <w:r w:rsidRPr="00090791">
          <w:rPr>
            <w:rStyle w:val="Hipervnculo"/>
          </w:rPr>
          <w:t>https://doi.org/10.1016/j.jcjq.2023.01.006</w:t>
        </w:r>
      </w:hyperlink>
    </w:p>
    <w:p w14:paraId="1EF03FFB" w14:textId="77777777" w:rsidR="00983984" w:rsidRPr="00090791" w:rsidRDefault="00983984" w:rsidP="004E1440">
      <w:pPr>
        <w:spacing w:line="360" w:lineRule="auto"/>
        <w:ind w:left="708" w:hanging="708"/>
        <w:jc w:val="both"/>
      </w:pPr>
      <w:r w:rsidRPr="00090791">
        <w:rPr>
          <w:lang w:val="en-US"/>
        </w:rPr>
        <w:t xml:space="preserve">Koma, B. S., Bergh, A. M. and Costa-Black, K. M. (2019). Barriers to and facilitators for implementing an office ergonomics programme in a South African research organization. </w:t>
      </w:r>
      <w:r w:rsidRPr="00090791">
        <w:rPr>
          <w:i/>
          <w:lang w:val="en-US"/>
        </w:rPr>
        <w:t>Applied Ergonomics</w:t>
      </w:r>
      <w:r w:rsidRPr="00090791">
        <w:rPr>
          <w:i/>
        </w:rPr>
        <w:t xml:space="preserve">, 75, </w:t>
      </w:r>
      <w:r w:rsidRPr="00090791">
        <w:t xml:space="preserve">83-90. </w:t>
      </w:r>
      <w:hyperlink r:id="rId42" w:history="1">
        <w:r w:rsidRPr="00090791">
          <w:rPr>
            <w:rStyle w:val="Hipervnculo"/>
          </w:rPr>
          <w:t>https://doi.org/10.1016/j.apergo.2018.09.003</w:t>
        </w:r>
      </w:hyperlink>
    </w:p>
    <w:p w14:paraId="01D353E2" w14:textId="77777777" w:rsidR="00983984" w:rsidRPr="00090791" w:rsidRDefault="00983984" w:rsidP="004E1440">
      <w:pPr>
        <w:spacing w:line="360" w:lineRule="auto"/>
        <w:ind w:left="708" w:hanging="708"/>
        <w:jc w:val="both"/>
      </w:pPr>
      <w:r w:rsidRPr="00090791">
        <w:t xml:space="preserve">Lara-Flores, E. (1999). </w:t>
      </w:r>
      <w:r w:rsidRPr="00090791">
        <w:rPr>
          <w:i/>
        </w:rPr>
        <w:t xml:space="preserve">Primer curso de contabilidad </w:t>
      </w:r>
      <w:r w:rsidRPr="00090791">
        <w:t>(2.</w:t>
      </w:r>
      <w:r w:rsidRPr="00090791">
        <w:rPr>
          <w:vertAlign w:val="superscript"/>
        </w:rPr>
        <w:t>a</w:t>
      </w:r>
      <w:r w:rsidRPr="00090791">
        <w:t xml:space="preserve"> ed.). Trillas. </w:t>
      </w:r>
      <w:hyperlink r:id="rId43" w:history="1">
        <w:r w:rsidRPr="00090791">
          <w:rPr>
            <w:rStyle w:val="Hipervnculo"/>
          </w:rPr>
          <w:t>https://vparrales.files.wordpress.com/2012/08/14074128-primer-curso-de-contabilidad-elias-lara-flores-trillas-16a-edicion2.pdf</w:t>
        </w:r>
      </w:hyperlink>
    </w:p>
    <w:p w14:paraId="2345B475" w14:textId="77777777" w:rsidR="00983984" w:rsidRPr="00090791" w:rsidRDefault="00983984" w:rsidP="004E1440">
      <w:pPr>
        <w:spacing w:line="360" w:lineRule="auto"/>
        <w:ind w:left="708" w:hanging="708"/>
        <w:jc w:val="both"/>
      </w:pPr>
      <w:r w:rsidRPr="00090791">
        <w:t xml:space="preserve">Laudon, K. C. y Laudon, J. P. (2012). </w:t>
      </w:r>
      <w:r w:rsidRPr="00090791">
        <w:rPr>
          <w:i/>
        </w:rPr>
        <w:t xml:space="preserve">Sistemas de información gerencial </w:t>
      </w:r>
      <w:r w:rsidRPr="00090791">
        <w:t>(12.</w:t>
      </w:r>
      <w:r w:rsidRPr="00090791">
        <w:rPr>
          <w:vertAlign w:val="superscript"/>
        </w:rPr>
        <w:t>a</w:t>
      </w:r>
      <w:r w:rsidRPr="00090791">
        <w:t xml:space="preserve"> ed.). Pearson. </w:t>
      </w:r>
      <w:hyperlink r:id="rId44" w:history="1">
        <w:r w:rsidRPr="00090791">
          <w:rPr>
            <w:rStyle w:val="Hipervnculo"/>
          </w:rPr>
          <w:t>https://juanantonioleonlopez.files.wordpress.com/2017/08/sistemas-de-informacic3b3n-gerencial-12va-edicic3b3n-kenneth-c-laudon.pdf</w:t>
        </w:r>
      </w:hyperlink>
    </w:p>
    <w:p w14:paraId="4428BE8E" w14:textId="77777777" w:rsidR="00983984" w:rsidRPr="00090791" w:rsidRDefault="00983984" w:rsidP="004E1440">
      <w:pPr>
        <w:spacing w:line="360" w:lineRule="auto"/>
        <w:ind w:left="708" w:hanging="708"/>
        <w:jc w:val="both"/>
      </w:pPr>
      <w:r w:rsidRPr="00090791">
        <w:t xml:space="preserve">Leigh-González, C., Leigh-González, E. y Gómez-Zuloaga, S. (2022). Aplicación de la escala de afrontamiento frente a riesgos extremos en el profesorado de preescolar en Chile en el contexto de emergencias masivas: estudio de caso. </w:t>
      </w:r>
      <w:r w:rsidRPr="00090791">
        <w:rPr>
          <w:i/>
        </w:rPr>
        <w:t>Revista Educación, 46</w:t>
      </w:r>
      <w:r w:rsidRPr="00090791">
        <w:t xml:space="preserve">(1), 1-16. </w:t>
      </w:r>
      <w:hyperlink r:id="rId45" w:history="1">
        <w:r w:rsidRPr="00090791">
          <w:rPr>
            <w:rStyle w:val="Hipervnculo"/>
          </w:rPr>
          <w:t>https://doi.org/10.15517/revedu.v46i1.43853</w:t>
        </w:r>
      </w:hyperlink>
    </w:p>
    <w:p w14:paraId="6A231417" w14:textId="77777777" w:rsidR="00983984" w:rsidRPr="00090791" w:rsidRDefault="00983984" w:rsidP="004E1440">
      <w:pPr>
        <w:spacing w:line="360" w:lineRule="auto"/>
        <w:ind w:left="708" w:hanging="708"/>
        <w:jc w:val="both"/>
      </w:pPr>
      <w:r w:rsidRPr="00090791">
        <w:t xml:space="preserve">Martínez-Ques, A. A., Braña-Marcos, B., Martín-Arribas, C., Vázquez-Campo, M., Rumbo-Prieto, J. M., López-Castro, J., Herrero-Olivera, L. y Gómez-Salgado, J. (2022). Diseño y validación de un instrumento sobre calidad de la planificación anticipada de decisiones para profesionales. </w:t>
      </w:r>
      <w:r w:rsidRPr="00090791">
        <w:rPr>
          <w:i/>
        </w:rPr>
        <w:t>Gaceta Sanitaria, 36</w:t>
      </w:r>
      <w:r w:rsidRPr="00090791">
        <w:t xml:space="preserve">(5), 401-408. </w:t>
      </w:r>
      <w:hyperlink r:id="rId46" w:history="1">
        <w:r w:rsidRPr="00090791">
          <w:rPr>
            <w:rStyle w:val="Hipervnculo"/>
          </w:rPr>
          <w:t>https://doi.org/10.1016/j.gaceta.2021.11.002</w:t>
        </w:r>
      </w:hyperlink>
    </w:p>
    <w:p w14:paraId="5EC6B3A2" w14:textId="77777777" w:rsidR="00983984" w:rsidRPr="00090791" w:rsidRDefault="00983984" w:rsidP="004E1440">
      <w:pPr>
        <w:spacing w:line="360" w:lineRule="auto"/>
        <w:ind w:left="708" w:hanging="708"/>
        <w:jc w:val="both"/>
      </w:pPr>
      <w:r w:rsidRPr="00090791">
        <w:t xml:space="preserve">Matas, A. (2018). Diseño del formato de escalas tipo Likert: un estado de la cuestión. </w:t>
      </w:r>
      <w:r w:rsidRPr="00090791">
        <w:rPr>
          <w:i/>
        </w:rPr>
        <w:t>Revista Electrónica de Investigación Educativa, 20</w:t>
      </w:r>
      <w:r w:rsidRPr="00090791">
        <w:t xml:space="preserve">(1), 38-47.  </w:t>
      </w:r>
      <w:hyperlink r:id="rId47" w:history="1">
        <w:r w:rsidRPr="00090791">
          <w:rPr>
            <w:rStyle w:val="Hipervnculo"/>
          </w:rPr>
          <w:t>https://doi.org/10.24320/redie.2018.20.1.1347</w:t>
        </w:r>
      </w:hyperlink>
    </w:p>
    <w:p w14:paraId="07E642AB" w14:textId="77777777" w:rsidR="00983984" w:rsidRPr="00090791" w:rsidRDefault="00983984" w:rsidP="004E1440">
      <w:pPr>
        <w:spacing w:line="360" w:lineRule="auto"/>
        <w:ind w:left="708" w:hanging="708"/>
        <w:jc w:val="both"/>
        <w:rPr>
          <w:rStyle w:val="Hipervnculo"/>
        </w:rPr>
      </w:pPr>
      <w:r w:rsidRPr="00090791">
        <w:t xml:space="preserve">Medina-Parra, R. I. (2020). Validez de contenido de un instrumento de medición de ventaja competitiva del sector hotelero. </w:t>
      </w:r>
      <w:r w:rsidRPr="00090791">
        <w:rPr>
          <w:i/>
        </w:rPr>
        <w:t>NOVA RUA, 12</w:t>
      </w:r>
      <w:r w:rsidRPr="00090791">
        <w:t xml:space="preserve">(21), 1-15. </w:t>
      </w:r>
      <w:hyperlink r:id="rId48" w:history="1">
        <w:r w:rsidRPr="00090791">
          <w:rPr>
            <w:rStyle w:val="Hipervnculo"/>
          </w:rPr>
          <w:t>https://doi.org/10.20983/novarua.2020.21.2</w:t>
        </w:r>
      </w:hyperlink>
    </w:p>
    <w:p w14:paraId="2798546B" w14:textId="77777777" w:rsidR="00983984" w:rsidRPr="00090791" w:rsidRDefault="00983984" w:rsidP="004E1440">
      <w:pPr>
        <w:spacing w:line="360" w:lineRule="auto"/>
        <w:ind w:left="708" w:hanging="708"/>
        <w:jc w:val="both"/>
        <w:rPr>
          <w:rStyle w:val="Hipervnculo"/>
          <w:color w:val="auto"/>
          <w:u w:val="none"/>
        </w:rPr>
      </w:pPr>
      <w:r w:rsidRPr="00090791">
        <w:rPr>
          <w:rStyle w:val="Hipervnculo"/>
          <w:color w:val="auto"/>
          <w:u w:val="none"/>
        </w:rPr>
        <w:t xml:space="preserve">Mercader-Alarcón, M., Miralles-Sancho, J., Pérez-Carbonell, A., Nolasco-Guiro, V., Antón-Latour, M. A. y Miras-García, M. M. (2023). Resultado de la implementación de un sistema de gestión de la calidad en base a la Norma ISO 9001:2015 en una unidad de cuidados </w:t>
      </w:r>
      <w:r w:rsidRPr="00090791">
        <w:rPr>
          <w:rStyle w:val="Hipervnculo"/>
          <w:color w:val="auto"/>
          <w:u w:val="none"/>
        </w:rPr>
        <w:lastRenderedPageBreak/>
        <w:t xml:space="preserve">intensivos quirúrgica. </w:t>
      </w:r>
      <w:r w:rsidRPr="00090791">
        <w:rPr>
          <w:rStyle w:val="Hipervnculo"/>
          <w:i/>
          <w:color w:val="auto"/>
          <w:u w:val="none"/>
        </w:rPr>
        <w:t>Revista Española de Anestesiología y Reanimación, 70</w:t>
      </w:r>
      <w:r w:rsidRPr="00090791">
        <w:rPr>
          <w:rStyle w:val="Hipervnculo"/>
          <w:color w:val="auto"/>
          <w:u w:val="none"/>
        </w:rPr>
        <w:t xml:space="preserve">(1), 26-36. </w:t>
      </w:r>
      <w:hyperlink r:id="rId49" w:history="1">
        <w:r w:rsidRPr="00090791">
          <w:rPr>
            <w:rStyle w:val="Hipervnculo"/>
            <w:color w:val="auto"/>
            <w:u w:val="none"/>
          </w:rPr>
          <w:t>https://doi.org/10.1016/j.redar.2021.09.013</w:t>
        </w:r>
      </w:hyperlink>
    </w:p>
    <w:p w14:paraId="19EB4C7D" w14:textId="77777777" w:rsidR="00983984" w:rsidRPr="00090791" w:rsidRDefault="00983984" w:rsidP="004E1440">
      <w:pPr>
        <w:spacing w:line="360" w:lineRule="auto"/>
        <w:ind w:left="708" w:hanging="708"/>
        <w:jc w:val="both"/>
      </w:pPr>
      <w:r w:rsidRPr="00090791">
        <w:t xml:space="preserve">Miranda, M. L., Muñoz-Campos., A. y Maldonado-Payan, J. C. (2017). La infraestructura física educativa de las escuelas multigrado. </w:t>
      </w:r>
      <w:r w:rsidRPr="00090791">
        <w:rPr>
          <w:i/>
        </w:rPr>
        <w:t>Congreso Nacional de Investigación Educativa. COMIE</w:t>
      </w:r>
      <w:r w:rsidRPr="00090791">
        <w:t xml:space="preserve">, 1-17. </w:t>
      </w:r>
      <w:hyperlink r:id="rId50" w:history="1">
        <w:r w:rsidRPr="00090791">
          <w:rPr>
            <w:rStyle w:val="Hipervnculo"/>
          </w:rPr>
          <w:t>https://www.comie.org.mx/congreso/memoriaelectronica/v14/doc/2718.pdf</w:t>
        </w:r>
      </w:hyperlink>
    </w:p>
    <w:p w14:paraId="72E2130D" w14:textId="77777777" w:rsidR="00983984" w:rsidRPr="00090791" w:rsidRDefault="00983984" w:rsidP="004E1440">
      <w:pPr>
        <w:spacing w:line="360" w:lineRule="auto"/>
        <w:ind w:left="708" w:hanging="708"/>
        <w:jc w:val="both"/>
      </w:pPr>
      <w:r w:rsidRPr="00090791">
        <w:t xml:space="preserve">Moscoso, M. G., Villarreal-Zegarra, D., Castillo, R. y Bellido-Boza, L. (2019). Validez y confiabilidad de la escala de satisfacción de los usuarios de consulta médica ambulatoria en Perú. </w:t>
      </w:r>
      <w:r w:rsidRPr="00090791">
        <w:rPr>
          <w:i/>
        </w:rPr>
        <w:t>Revista Peruana de Medicina Experimental y Salud Pública, 36</w:t>
      </w:r>
      <w:r w:rsidRPr="00090791">
        <w:t xml:space="preserve">(2), 167-177. </w:t>
      </w:r>
      <w:hyperlink r:id="rId51" w:history="1">
        <w:r w:rsidRPr="00090791">
          <w:rPr>
            <w:rStyle w:val="Hipervnculo"/>
          </w:rPr>
          <w:t>https://doi.org/10.17843/rpmesp.2019.362.4621</w:t>
        </w:r>
      </w:hyperlink>
    </w:p>
    <w:p w14:paraId="6601CA0A" w14:textId="77777777" w:rsidR="00983984" w:rsidRPr="00090791" w:rsidRDefault="00983984" w:rsidP="004E1440">
      <w:pPr>
        <w:spacing w:line="360" w:lineRule="auto"/>
        <w:ind w:left="708" w:hanging="708"/>
        <w:jc w:val="both"/>
      </w:pPr>
      <w:r w:rsidRPr="00090791">
        <w:t xml:space="preserve">Norma Oficial Mexicana [NOM]. (2008). </w:t>
      </w:r>
      <w:r w:rsidRPr="00090791">
        <w:rPr>
          <w:i/>
        </w:rPr>
        <w:t>NOM-001</w:t>
      </w:r>
      <w:r w:rsidRPr="00090791">
        <w:t xml:space="preserve"> </w:t>
      </w:r>
      <w:r w:rsidRPr="00090791">
        <w:rPr>
          <w:i/>
        </w:rPr>
        <w:t>Edificios, locales, instalaciones y áreas en los centros de trabajo-condiciones de seguridad</w:t>
      </w:r>
      <w:r w:rsidRPr="00090791">
        <w:t xml:space="preserve">. </w:t>
      </w:r>
      <w:hyperlink r:id="rId52" w:history="1">
        <w:r w:rsidRPr="00090791">
          <w:rPr>
            <w:rStyle w:val="Hipervnculo"/>
          </w:rPr>
          <w:t>https://www.stps.gob.mx/bp/secciones/dgsst/normatividad/normas/nom-001.pdf</w:t>
        </w:r>
      </w:hyperlink>
    </w:p>
    <w:p w14:paraId="6DB0C642" w14:textId="77777777" w:rsidR="00983984" w:rsidRPr="00090791" w:rsidRDefault="00983984" w:rsidP="004E1440">
      <w:pPr>
        <w:spacing w:line="360" w:lineRule="auto"/>
        <w:ind w:left="708" w:hanging="708"/>
        <w:jc w:val="both"/>
      </w:pPr>
      <w:r w:rsidRPr="00090791">
        <w:t xml:space="preserve">Nunnally, J. C. and Bernstein, I. H. (1994). </w:t>
      </w:r>
      <w:r w:rsidRPr="00090791">
        <w:rPr>
          <w:i/>
          <w:lang w:val="en-US"/>
        </w:rPr>
        <w:t xml:space="preserve">Psychometric theory </w:t>
      </w:r>
      <w:r w:rsidRPr="00090791">
        <w:rPr>
          <w:lang w:val="en-US"/>
        </w:rPr>
        <w:t>(3.</w:t>
      </w:r>
      <w:r w:rsidRPr="00090791">
        <w:rPr>
          <w:vertAlign w:val="superscript"/>
          <w:lang w:val="en-US"/>
        </w:rPr>
        <w:t>a</w:t>
      </w:r>
      <w:r w:rsidRPr="00090791">
        <w:rPr>
          <w:lang w:val="en-US"/>
        </w:rPr>
        <w:t xml:space="preserve"> ed.).</w:t>
      </w:r>
      <w:r w:rsidRPr="00090791">
        <w:t xml:space="preserve"> McGraw-Hill. </w:t>
      </w:r>
      <w:hyperlink r:id="rId53" w:history="1">
        <w:r w:rsidRPr="00090791">
          <w:rPr>
            <w:rStyle w:val="Hipervnculo"/>
          </w:rPr>
          <w:t>https://kupdf.net/download/nunnally-bernstein-psychometric-theory-3ed-1994_58ed3368dc0d60536bda97f3_pdf</w:t>
        </w:r>
      </w:hyperlink>
    </w:p>
    <w:p w14:paraId="31B2D002" w14:textId="77777777" w:rsidR="00983984" w:rsidRPr="00090791" w:rsidRDefault="00983984" w:rsidP="004E1440">
      <w:pPr>
        <w:spacing w:line="360" w:lineRule="auto"/>
        <w:ind w:left="708" w:hanging="708"/>
        <w:jc w:val="both"/>
      </w:pPr>
      <w:r w:rsidRPr="00090791">
        <w:t xml:space="preserve">Organización Internacional de Normalización [ISO]. (2015). </w:t>
      </w:r>
      <w:r w:rsidRPr="00090791">
        <w:rPr>
          <w:i/>
        </w:rPr>
        <w:t>ISO 9001:2015</w:t>
      </w:r>
      <w:r w:rsidRPr="00090791">
        <w:t xml:space="preserve"> </w:t>
      </w:r>
      <w:r w:rsidRPr="00090791">
        <w:rPr>
          <w:i/>
        </w:rPr>
        <w:t>Sistemas de Gestión de la Calidad - Requisitos</w:t>
      </w:r>
      <w:r w:rsidRPr="00090791">
        <w:t xml:space="preserve">. Ginebra: Suiza. </w:t>
      </w:r>
      <w:hyperlink r:id="rId54" w:history="1">
        <w:r w:rsidRPr="00090791">
          <w:rPr>
            <w:rStyle w:val="Hipervnculo"/>
          </w:rPr>
          <w:t>http://www.congresoson.gob.mx:81/Content/ISO/documentos/ISO_9001_2015.pdf</w:t>
        </w:r>
      </w:hyperlink>
    </w:p>
    <w:p w14:paraId="33E2A449" w14:textId="77777777" w:rsidR="00983984" w:rsidRPr="00090791" w:rsidRDefault="00983984" w:rsidP="004E1440">
      <w:pPr>
        <w:spacing w:line="360" w:lineRule="auto"/>
        <w:ind w:left="708" w:hanging="708"/>
        <w:jc w:val="both"/>
      </w:pPr>
      <w:r w:rsidRPr="00090791">
        <w:t xml:space="preserve">Organización Internacional de Normalización [ISO]. (2021). </w:t>
      </w:r>
      <w:r w:rsidRPr="00090791">
        <w:rPr>
          <w:i/>
        </w:rPr>
        <w:t>ISO 10013:2021</w:t>
      </w:r>
      <w:r w:rsidRPr="00090791">
        <w:t xml:space="preserve"> </w:t>
      </w:r>
      <w:r w:rsidRPr="00090791">
        <w:rPr>
          <w:i/>
        </w:rPr>
        <w:t>Sistemas de Gestión de la Calidad - Orientación para la información documentada</w:t>
      </w:r>
      <w:r w:rsidRPr="00090791">
        <w:t xml:space="preserve">. Ginebra: Suiza. </w:t>
      </w:r>
      <w:hyperlink r:id="rId55" w:history="1">
        <w:r w:rsidRPr="00090791">
          <w:rPr>
            <w:rStyle w:val="Hipervnculo"/>
          </w:rPr>
          <w:t>https://cdn.standards.iteh.ai/samples/75736/0c43916d973149f5834ee4581f2ce73a/ISO-10013-2021.pdf</w:t>
        </w:r>
      </w:hyperlink>
    </w:p>
    <w:p w14:paraId="18C549E8" w14:textId="77777777" w:rsidR="00983984" w:rsidRPr="00090791" w:rsidRDefault="00983984" w:rsidP="004E1440">
      <w:pPr>
        <w:spacing w:line="360" w:lineRule="auto"/>
        <w:ind w:left="708" w:hanging="708"/>
        <w:jc w:val="both"/>
      </w:pPr>
      <w:r w:rsidRPr="00090791">
        <w:t xml:space="preserve">Ortega-Arjona, J. L. (2000). Software: tecnología para el procesamiento de información. </w:t>
      </w:r>
      <w:r w:rsidRPr="00090791">
        <w:rPr>
          <w:i/>
        </w:rPr>
        <w:t xml:space="preserve">Revista Humanidades. </w:t>
      </w:r>
      <w:r w:rsidRPr="00090791">
        <w:t xml:space="preserve">1-8. </w:t>
      </w:r>
      <w:hyperlink r:id="rId56" w:history="1">
        <w:r w:rsidRPr="00090791">
          <w:rPr>
            <w:rStyle w:val="Hipervnculo"/>
          </w:rPr>
          <w:t>https://www.researchgate.net/publication/294260238_Software_Tecnologia_para_el_Procesamiento_de_Informacion</w:t>
        </w:r>
      </w:hyperlink>
    </w:p>
    <w:p w14:paraId="63B10466" w14:textId="77777777" w:rsidR="00983984" w:rsidRPr="00090791" w:rsidRDefault="00983984" w:rsidP="004E1440">
      <w:pPr>
        <w:spacing w:line="360" w:lineRule="auto"/>
        <w:ind w:left="708" w:hanging="708"/>
        <w:jc w:val="both"/>
      </w:pPr>
      <w:r w:rsidRPr="00090791">
        <w:t>Pacheco-Martínez, N. J. (2021). Evaluación del impacto de la infraestructura física educativa</w:t>
      </w:r>
      <w:r w:rsidRPr="00090791">
        <w:rPr>
          <w:i/>
        </w:rPr>
        <w:t>. Revista Iberoamericana para la Investigación y el Desarrollo Educativo, 12</w:t>
      </w:r>
      <w:r w:rsidRPr="00090791">
        <w:t xml:space="preserve">(22), 1-34. </w:t>
      </w:r>
      <w:hyperlink r:id="rId57" w:history="1">
        <w:r w:rsidRPr="00090791">
          <w:rPr>
            <w:rStyle w:val="Hipervnculo"/>
          </w:rPr>
          <w:t>https://doi.org/10.23913/ride.v11i22.940</w:t>
        </w:r>
      </w:hyperlink>
    </w:p>
    <w:p w14:paraId="1902A2F6" w14:textId="77777777" w:rsidR="00983984" w:rsidRPr="00090791" w:rsidRDefault="00983984" w:rsidP="004E1440">
      <w:pPr>
        <w:spacing w:line="360" w:lineRule="auto"/>
        <w:ind w:left="708" w:hanging="708"/>
        <w:jc w:val="both"/>
        <w:rPr>
          <w:rStyle w:val="Hipervnculo"/>
        </w:rPr>
      </w:pPr>
      <w:r w:rsidRPr="00090791">
        <w:t xml:space="preserve">Peña-Casanova, M. y Anías-Calderon, C. (2020). Modelo para la gestión de infraestructuras de tecnologías de la información. </w:t>
      </w:r>
      <w:r w:rsidRPr="00090791">
        <w:rPr>
          <w:i/>
        </w:rPr>
        <w:t>TecnoLógicas, 23</w:t>
      </w:r>
      <w:r w:rsidRPr="00090791">
        <w:t xml:space="preserve">(48), 31-51. </w:t>
      </w:r>
      <w:hyperlink r:id="rId58" w:history="1">
        <w:r w:rsidRPr="00090791">
          <w:rPr>
            <w:rStyle w:val="Hipervnculo"/>
          </w:rPr>
          <w:t>https://doi.org/10.22430/22565337.1449</w:t>
        </w:r>
      </w:hyperlink>
    </w:p>
    <w:p w14:paraId="15326C0B" w14:textId="77777777" w:rsidR="00983984" w:rsidRPr="00090791" w:rsidRDefault="00983984" w:rsidP="004E1440">
      <w:pPr>
        <w:spacing w:line="360" w:lineRule="auto"/>
        <w:ind w:left="708" w:hanging="708"/>
        <w:jc w:val="both"/>
      </w:pPr>
      <w:r w:rsidRPr="00090791">
        <w:rPr>
          <w:rStyle w:val="Hipervnculo"/>
          <w:color w:val="auto"/>
          <w:u w:val="none"/>
        </w:rPr>
        <w:t xml:space="preserve">Pizarro-Romero, K. y Martínez-Mora, O. (2020). Análisis factorial exploratorio mediante el uso de las medidas de adecuación muestral kmo y esfericidad de bartlett para determinar </w:t>
      </w:r>
      <w:r w:rsidRPr="00090791">
        <w:rPr>
          <w:rStyle w:val="Hipervnculo"/>
          <w:color w:val="auto"/>
          <w:u w:val="none"/>
        </w:rPr>
        <w:lastRenderedPageBreak/>
        <w:t xml:space="preserve">factores principales. </w:t>
      </w:r>
      <w:r w:rsidRPr="00090791">
        <w:rPr>
          <w:rStyle w:val="Hipervnculo"/>
          <w:i/>
          <w:color w:val="auto"/>
          <w:u w:val="none"/>
        </w:rPr>
        <w:t>Journal of Science and Research</w:t>
      </w:r>
      <w:r w:rsidRPr="00090791">
        <w:rPr>
          <w:rStyle w:val="Hipervnculo"/>
          <w:color w:val="auto"/>
          <w:u w:val="none"/>
        </w:rPr>
        <w:t xml:space="preserve">, </w:t>
      </w:r>
      <w:r w:rsidRPr="00090791">
        <w:rPr>
          <w:rStyle w:val="Hipervnculo"/>
          <w:i/>
          <w:color w:val="auto"/>
          <w:u w:val="none"/>
        </w:rPr>
        <w:t xml:space="preserve">5, </w:t>
      </w:r>
      <w:r w:rsidRPr="00090791">
        <w:rPr>
          <w:rStyle w:val="Hipervnculo"/>
          <w:color w:val="auto"/>
          <w:u w:val="none"/>
        </w:rPr>
        <w:t xml:space="preserve">903-924. </w:t>
      </w:r>
      <w:hyperlink r:id="rId59" w:history="1">
        <w:r w:rsidRPr="00090791">
          <w:rPr>
            <w:rStyle w:val="Hipervnculo"/>
            <w:color w:val="auto"/>
            <w:u w:val="none"/>
          </w:rPr>
          <w:t>https://revistas.utb.edu.ec/index.php/sr/article/view/1046</w:t>
        </w:r>
      </w:hyperlink>
    </w:p>
    <w:p w14:paraId="4A67B012" w14:textId="77777777" w:rsidR="00983984" w:rsidRPr="00090791" w:rsidRDefault="00983984" w:rsidP="004E1440">
      <w:pPr>
        <w:spacing w:line="360" w:lineRule="auto"/>
        <w:ind w:left="708" w:hanging="708"/>
        <w:jc w:val="both"/>
      </w:pPr>
      <w:r w:rsidRPr="00090791">
        <w:t xml:space="preserve">Prieto, A. (2012). La apertura del espacio de trabajo. </w:t>
      </w:r>
      <w:r w:rsidRPr="00090791">
        <w:rPr>
          <w:i/>
        </w:rPr>
        <w:t>Revista ARQ</w:t>
      </w:r>
      <w:r w:rsidRPr="00090791">
        <w:rPr>
          <w:iCs/>
        </w:rPr>
        <w:t>,</w:t>
      </w:r>
      <w:r w:rsidRPr="00090791">
        <w:t xml:space="preserve"> (82), 12-15. </w:t>
      </w:r>
      <w:hyperlink r:id="rId60" w:history="1">
        <w:r w:rsidRPr="00090791">
          <w:rPr>
            <w:rStyle w:val="Hipervnculo"/>
          </w:rPr>
          <w:t>http://www.redalyc.org/articulo.oa?id=37525388018</w:t>
        </w:r>
      </w:hyperlink>
    </w:p>
    <w:p w14:paraId="06DA86B9" w14:textId="77777777" w:rsidR="00983984" w:rsidRPr="00090791" w:rsidRDefault="00983984" w:rsidP="004E1440">
      <w:pPr>
        <w:spacing w:line="360" w:lineRule="auto"/>
        <w:ind w:left="708" w:hanging="708"/>
        <w:jc w:val="both"/>
      </w:pPr>
      <w:r w:rsidRPr="00090791">
        <w:t xml:space="preserve">Quesada-Chaves, M. J. (2019). Condiciones de la infraestructura educativa en la región pacífico central: los espacios escolares que promueven el aprendizaje en las aulas. </w:t>
      </w:r>
      <w:r w:rsidRPr="00090791">
        <w:rPr>
          <w:i/>
        </w:rPr>
        <w:t>Revista Educación, 43</w:t>
      </w:r>
      <w:r w:rsidRPr="00090791">
        <w:t xml:space="preserve">(1), 1-19. </w:t>
      </w:r>
      <w:hyperlink r:id="rId61" w:history="1">
        <w:r w:rsidRPr="00090791">
          <w:rPr>
            <w:rStyle w:val="Hipervnculo"/>
          </w:rPr>
          <w:t>https://doi.org/10.15517/revedu.v43i1.28179</w:t>
        </w:r>
      </w:hyperlink>
    </w:p>
    <w:p w14:paraId="086F1511" w14:textId="77777777" w:rsidR="00983984" w:rsidRPr="00090791" w:rsidRDefault="00983984" w:rsidP="004E1440">
      <w:pPr>
        <w:spacing w:line="360" w:lineRule="auto"/>
        <w:ind w:left="708" w:hanging="708"/>
        <w:jc w:val="both"/>
      </w:pPr>
      <w:r w:rsidRPr="00090791">
        <w:t xml:space="preserve">Rave-Gómez, E. D., Moreno-Hernández, J. E. y Pérez-Castañeda, S. S. (2023). Diseño y validación de instrumento para la internacionalización de pymes, a partir del modelo Uppsala y las capacidades dinámicas. </w:t>
      </w:r>
      <w:r w:rsidRPr="00090791">
        <w:rPr>
          <w:i/>
        </w:rPr>
        <w:t>Economía &amp; Negocios, 5</w:t>
      </w:r>
      <w:r w:rsidRPr="00090791">
        <w:t xml:space="preserve">(1), 175-193.  </w:t>
      </w:r>
      <w:hyperlink r:id="rId62" w:history="1">
        <w:r w:rsidRPr="00090791">
          <w:rPr>
            <w:rStyle w:val="Hipervnculo"/>
          </w:rPr>
          <w:t>https://www.doi.org/10.33326/27086062.2023.1.1539</w:t>
        </w:r>
      </w:hyperlink>
    </w:p>
    <w:p w14:paraId="2887E6F2" w14:textId="77777777" w:rsidR="00983984" w:rsidRPr="00090791" w:rsidRDefault="00983984" w:rsidP="004E1440">
      <w:pPr>
        <w:spacing w:line="360" w:lineRule="auto"/>
        <w:ind w:left="708" w:hanging="708"/>
        <w:jc w:val="both"/>
      </w:pPr>
      <w:r w:rsidRPr="00090791">
        <w:t xml:space="preserve">Rivas-Hernández, D. V., López-Ortíz, M. A. y Tobar-Portillo, S. E. (2017). La carencia de infraestructura propia y adecuada en la Policía Nacional Civil (PNC) de El Salvador y sus repercusiones en el desarrollo organizacional y territorial, así como en la atención integral a la ciudadanía, año 2014. </w:t>
      </w:r>
      <w:r w:rsidRPr="00090791">
        <w:rPr>
          <w:i/>
        </w:rPr>
        <w:t>Revista Policía y Seguridad Pública, 2</w:t>
      </w:r>
      <w:r w:rsidRPr="00090791">
        <w:t xml:space="preserve">(7), 1-60. </w:t>
      </w:r>
      <w:hyperlink r:id="rId63" w:history="1">
        <w:r w:rsidRPr="00090791">
          <w:rPr>
            <w:rStyle w:val="Hipervnculo"/>
          </w:rPr>
          <w:t>https://doi.org/10.5377/rpsp.v7i2.5467</w:t>
        </w:r>
      </w:hyperlink>
    </w:p>
    <w:p w14:paraId="00B3AD7B" w14:textId="77777777" w:rsidR="00983984" w:rsidRPr="00090791" w:rsidRDefault="00983984" w:rsidP="004E1440">
      <w:pPr>
        <w:spacing w:line="360" w:lineRule="auto"/>
        <w:ind w:left="708" w:hanging="708"/>
        <w:jc w:val="both"/>
      </w:pPr>
      <w:r w:rsidRPr="00090791">
        <w:t xml:space="preserve">Rodríguez-Jasso, A. F., Rodríguez-Jasso, L. de J., Sánchez-Limón, M. L. y Delgado-Rivas, J. G. (2023). Propuesta y validación de instrumento de medición del comportamiento climático en las universidades. </w:t>
      </w:r>
      <w:r w:rsidRPr="00090791">
        <w:rPr>
          <w:i/>
        </w:rPr>
        <w:t>Acta Universitaria, 33</w:t>
      </w:r>
      <w:r w:rsidRPr="00090791">
        <w:t xml:space="preserve">, 1-23. </w:t>
      </w:r>
      <w:hyperlink r:id="rId64" w:history="1">
        <w:r w:rsidRPr="00090791">
          <w:rPr>
            <w:rStyle w:val="Hipervnculo"/>
          </w:rPr>
          <w:t>http://doi.org/10.15174/au.2023.3775</w:t>
        </w:r>
      </w:hyperlink>
    </w:p>
    <w:p w14:paraId="0812F9D0" w14:textId="77777777" w:rsidR="00983984" w:rsidRPr="00090791" w:rsidRDefault="00983984" w:rsidP="004E1440">
      <w:pPr>
        <w:spacing w:line="360" w:lineRule="auto"/>
        <w:ind w:left="708" w:hanging="708"/>
        <w:jc w:val="both"/>
      </w:pPr>
      <w:r w:rsidRPr="00090791">
        <w:t xml:space="preserve">Salazar-Otálora, G. E., Manrique-Joya, G. M. y Cuy-Rojas, A. L. (2023). Capacidades logísticas como factores determinantes para la internacionalización de las pymes: una revisión sistemática de literatura. </w:t>
      </w:r>
      <w:r w:rsidRPr="00090791">
        <w:rPr>
          <w:i/>
        </w:rPr>
        <w:t>Revista CEA, 9</w:t>
      </w:r>
      <w:r w:rsidRPr="00090791">
        <w:t xml:space="preserve">(19), 1-30. </w:t>
      </w:r>
      <w:hyperlink r:id="rId65" w:history="1">
        <w:r w:rsidRPr="00090791">
          <w:rPr>
            <w:rStyle w:val="Hipervnculo"/>
          </w:rPr>
          <w:t>https://doi.org/10.22430/24223182.2126</w:t>
        </w:r>
      </w:hyperlink>
    </w:p>
    <w:p w14:paraId="5B0667E5" w14:textId="77777777" w:rsidR="00983984" w:rsidRPr="00090791" w:rsidRDefault="00983984" w:rsidP="004E1440">
      <w:pPr>
        <w:spacing w:line="360" w:lineRule="auto"/>
        <w:ind w:left="708" w:hanging="708"/>
        <w:jc w:val="both"/>
      </w:pPr>
      <w:r w:rsidRPr="00090791">
        <w:t xml:space="preserve">Sánchez-Correa, L. M., Arroyo-Martínez, S. y Avalos-Pelayo, R. (2021). Diseño y validación de un instrumento teórico-empírico para evaluar la innovación administrativa en la industria de la construcción en vertical en México. </w:t>
      </w:r>
      <w:r w:rsidRPr="00090791">
        <w:rPr>
          <w:i/>
        </w:rPr>
        <w:t>Acta Universitaria, 31</w:t>
      </w:r>
      <w:r w:rsidRPr="00090791">
        <w:t xml:space="preserve">, 1-14. </w:t>
      </w:r>
      <w:hyperlink r:id="rId66" w:history="1">
        <w:r w:rsidRPr="00090791">
          <w:rPr>
            <w:rStyle w:val="Hipervnculo"/>
          </w:rPr>
          <w:t>http://doi.org/10.15174.au.2021.2915</w:t>
        </w:r>
      </w:hyperlink>
    </w:p>
    <w:p w14:paraId="1FCC9E89" w14:textId="77777777" w:rsidR="00983984" w:rsidRPr="00090791" w:rsidRDefault="00983984" w:rsidP="004E1440">
      <w:pPr>
        <w:spacing w:line="360" w:lineRule="auto"/>
        <w:ind w:left="708" w:hanging="708"/>
        <w:jc w:val="both"/>
      </w:pPr>
      <w:r w:rsidRPr="00090791">
        <w:t xml:space="preserve">Sánchez-Sánchez, R. (2021). El tema de validez de contenido en la educación y la propuesta de Hernández-Nieto. </w:t>
      </w:r>
      <w:r w:rsidRPr="00090791">
        <w:rPr>
          <w:i/>
          <w:lang w:val="en-US"/>
        </w:rPr>
        <w:t>Latin-American Journal of Physics Education</w:t>
      </w:r>
      <w:r w:rsidRPr="00090791">
        <w:rPr>
          <w:i/>
        </w:rPr>
        <w:t>, 15</w:t>
      </w:r>
      <w:r w:rsidRPr="00090791">
        <w:t xml:space="preserve">(3), 1-5. </w:t>
      </w:r>
      <w:hyperlink r:id="rId67" w:history="1">
        <w:r w:rsidRPr="00090791">
          <w:rPr>
            <w:rStyle w:val="Hipervnculo"/>
          </w:rPr>
          <w:t>https://dialnet.unirioja.es/servlet/articulo?codigo=8358273</w:t>
        </w:r>
      </w:hyperlink>
    </w:p>
    <w:p w14:paraId="07EAC3F1" w14:textId="77777777" w:rsidR="00983984" w:rsidRPr="00090791" w:rsidRDefault="00983984" w:rsidP="004E1440">
      <w:pPr>
        <w:spacing w:line="360" w:lineRule="auto"/>
        <w:ind w:left="708" w:hanging="708"/>
        <w:jc w:val="both"/>
      </w:pPr>
      <w:r w:rsidRPr="00090791">
        <w:t xml:space="preserve">Schuler, M. and Matuszczyk, J. V. (2022). </w:t>
      </w:r>
      <w:r w:rsidRPr="00090791">
        <w:rPr>
          <w:lang w:val="en-US"/>
        </w:rPr>
        <w:t xml:space="preserve">A Multi-Domain instrument for safety Climate: Military safety climate questionnaire (MSCQ) and NOSACQ-50. </w:t>
      </w:r>
      <w:r w:rsidRPr="00090791">
        <w:rPr>
          <w:i/>
          <w:lang w:val="en-US"/>
        </w:rPr>
        <w:t>Safety Science</w:t>
      </w:r>
      <w:r w:rsidRPr="00090791">
        <w:rPr>
          <w:i/>
        </w:rPr>
        <w:t>, 154</w:t>
      </w:r>
      <w:r w:rsidRPr="00090791">
        <w:t xml:space="preserve">, 1-9. </w:t>
      </w:r>
      <w:hyperlink r:id="rId68" w:history="1">
        <w:r w:rsidRPr="00090791">
          <w:rPr>
            <w:rStyle w:val="Hipervnculo"/>
          </w:rPr>
          <w:t>https://doi.org/10.1016/j.ssci.2022.105851</w:t>
        </w:r>
      </w:hyperlink>
    </w:p>
    <w:p w14:paraId="546BA3AE" w14:textId="77777777" w:rsidR="00983984" w:rsidRPr="00090791" w:rsidRDefault="00983984" w:rsidP="004E1440">
      <w:pPr>
        <w:spacing w:line="360" w:lineRule="auto"/>
        <w:ind w:left="708" w:hanging="708"/>
        <w:jc w:val="both"/>
      </w:pPr>
      <w:r w:rsidRPr="00090791">
        <w:lastRenderedPageBreak/>
        <w:t xml:space="preserve">Shun-Lin, S., Zhou, A. y Long-Shen, S. (2023). </w:t>
      </w:r>
      <w:r w:rsidRPr="00090791">
        <w:rPr>
          <w:lang w:val="en-US"/>
        </w:rPr>
        <w:t xml:space="preserve">Optimal construction method evaluation for underground infrastructure construction. </w:t>
      </w:r>
      <w:r w:rsidRPr="00090791">
        <w:rPr>
          <w:i/>
          <w:lang w:val="en-US"/>
        </w:rPr>
        <w:t>Automation in Construction</w:t>
      </w:r>
      <w:r w:rsidRPr="00090791">
        <w:rPr>
          <w:i/>
        </w:rPr>
        <w:t>, 152</w:t>
      </w:r>
      <w:r w:rsidRPr="00090791">
        <w:t xml:space="preserve">, 1-17. </w:t>
      </w:r>
      <w:hyperlink r:id="rId69" w:history="1">
        <w:r w:rsidRPr="00090791">
          <w:rPr>
            <w:rStyle w:val="Hipervnculo"/>
          </w:rPr>
          <w:t>https://doi.org/10.1016/j.autcon.2023.104921</w:t>
        </w:r>
      </w:hyperlink>
    </w:p>
    <w:p w14:paraId="40732DB7" w14:textId="77777777" w:rsidR="00983984" w:rsidRPr="00090791" w:rsidRDefault="00983984" w:rsidP="004E1440">
      <w:pPr>
        <w:spacing w:line="360" w:lineRule="auto"/>
        <w:ind w:left="708" w:hanging="708"/>
        <w:jc w:val="both"/>
      </w:pPr>
      <w:r w:rsidRPr="00090791">
        <w:t xml:space="preserve">Sommerville, I. (2011). </w:t>
      </w:r>
      <w:r w:rsidRPr="00090791">
        <w:rPr>
          <w:i/>
        </w:rPr>
        <w:t xml:space="preserve">Ingeniería del software </w:t>
      </w:r>
      <w:r w:rsidRPr="00090791">
        <w:t>(9.</w:t>
      </w:r>
      <w:r w:rsidRPr="00090791">
        <w:rPr>
          <w:vertAlign w:val="superscript"/>
        </w:rPr>
        <w:t>a</w:t>
      </w:r>
      <w:r w:rsidRPr="00090791">
        <w:t xml:space="preserve"> ed.). Pearson. </w:t>
      </w:r>
      <w:hyperlink r:id="rId70" w:history="1">
        <w:r w:rsidRPr="00090791">
          <w:rPr>
            <w:rStyle w:val="Hipervnculo"/>
          </w:rPr>
          <w:t>https://gc.scalahed.com/recursos/files/r161r/w25469w/ingdelsoftwarelibro9_compressed.pdf</w:t>
        </w:r>
      </w:hyperlink>
    </w:p>
    <w:p w14:paraId="1DADA7B7" w14:textId="77777777" w:rsidR="00983984" w:rsidRPr="00090791" w:rsidRDefault="00983984" w:rsidP="004E1440">
      <w:pPr>
        <w:spacing w:line="360" w:lineRule="auto"/>
        <w:ind w:left="708" w:hanging="708"/>
        <w:jc w:val="both"/>
      </w:pPr>
      <w:r w:rsidRPr="00090791">
        <w:t xml:space="preserve">Stair, R. y Reynolds, G. (2010). </w:t>
      </w:r>
      <w:r w:rsidRPr="00090791">
        <w:rPr>
          <w:i/>
        </w:rPr>
        <w:t>Principios de sistemas de información. Un enfoque Administrativo</w:t>
      </w:r>
      <w:r w:rsidRPr="00090791">
        <w:t xml:space="preserve"> (9.</w:t>
      </w:r>
      <w:r w:rsidRPr="00090791">
        <w:rPr>
          <w:vertAlign w:val="superscript"/>
        </w:rPr>
        <w:t>a</w:t>
      </w:r>
      <w:r w:rsidRPr="00090791">
        <w:t xml:space="preserve"> ed.). Cengage Learning. </w:t>
      </w:r>
      <w:hyperlink r:id="rId71" w:history="1">
        <w:r w:rsidRPr="00090791">
          <w:rPr>
            <w:rStyle w:val="Hipervnculo"/>
          </w:rPr>
          <w:t>https://dokumen.tips/documents/principios-de-sistemas-de-informacion-un-enfoque-administrativo.html?page=1</w:t>
        </w:r>
      </w:hyperlink>
    </w:p>
    <w:p w14:paraId="2A07CFFA" w14:textId="77777777" w:rsidR="00983984" w:rsidRPr="00090791" w:rsidRDefault="00983984" w:rsidP="004E1440">
      <w:pPr>
        <w:spacing w:line="360" w:lineRule="auto"/>
        <w:ind w:left="708" w:hanging="708"/>
        <w:jc w:val="both"/>
      </w:pPr>
      <w:r w:rsidRPr="00090791">
        <w:t xml:space="preserve">Steger, G. E. y Hilt, J. A. (2023). Validez y confiabilidad de la escala de prácticas parentales. </w:t>
      </w:r>
      <w:r w:rsidRPr="00090791">
        <w:rPr>
          <w:i/>
        </w:rPr>
        <w:t>Revista Internacional de Estudios en Educación, 1</w:t>
      </w:r>
      <w:r w:rsidRPr="00090791">
        <w:t xml:space="preserve">(23), 67-86.  </w:t>
      </w:r>
      <w:hyperlink r:id="rId72" w:history="1">
        <w:r w:rsidRPr="00090791">
          <w:rPr>
            <w:rStyle w:val="Hipervnculo"/>
          </w:rPr>
          <w:t>https://doi.org/10.37354/riee.2023.231</w:t>
        </w:r>
      </w:hyperlink>
    </w:p>
    <w:p w14:paraId="08C28204" w14:textId="77777777" w:rsidR="00983984" w:rsidRPr="00090791" w:rsidRDefault="00983984" w:rsidP="004E1440">
      <w:pPr>
        <w:spacing w:line="360" w:lineRule="auto"/>
        <w:ind w:left="708" w:hanging="708"/>
        <w:jc w:val="both"/>
        <w:rPr>
          <w:rStyle w:val="Hipervnculo"/>
        </w:rPr>
      </w:pPr>
      <w:r w:rsidRPr="00090791">
        <w:t xml:space="preserve">Supo, J. (2013). </w:t>
      </w:r>
      <w:r w:rsidRPr="00090791">
        <w:rPr>
          <w:i/>
          <w:iCs/>
        </w:rPr>
        <w:t>Cómo validar un instrumento. Aprende a crear y validar instrumentos como un experto</w:t>
      </w:r>
      <w:r w:rsidRPr="00090791">
        <w:t xml:space="preserve">. Biblioteca Nacional del Perú. </w:t>
      </w:r>
      <w:hyperlink r:id="rId73" w:history="1">
        <w:r w:rsidRPr="00090791">
          <w:rPr>
            <w:rStyle w:val="Hipervnculo"/>
          </w:rPr>
          <w:t>https://www.cua.uam.mx/pdfs/coplavi/s_p/doc_ng/validacion-de-instrumentos-de-medicion.pdf</w:t>
        </w:r>
      </w:hyperlink>
    </w:p>
    <w:p w14:paraId="29027EEA" w14:textId="77777777" w:rsidR="00983984" w:rsidRPr="00090791" w:rsidRDefault="00983984" w:rsidP="004E1440">
      <w:pPr>
        <w:spacing w:line="360" w:lineRule="auto"/>
        <w:ind w:left="708" w:hanging="708"/>
        <w:jc w:val="both"/>
        <w:rPr>
          <w:rStyle w:val="Hipervnculo"/>
          <w:color w:val="auto"/>
          <w:u w:val="none"/>
          <w:lang w:val="en-US"/>
        </w:rPr>
      </w:pPr>
      <w:r w:rsidRPr="00090791">
        <w:rPr>
          <w:rStyle w:val="Hipervnculo"/>
          <w:color w:val="auto"/>
          <w:u w:val="none"/>
        </w:rPr>
        <w:t xml:space="preserve">Tebar-Betegon, M. A., Baladrón-González, V., Bejarano-Ramírez, N., Martínez-Arce, A., Rodríguez-De Guzmán, J. y Redondo-Calvo, F. J. (2021). </w:t>
      </w:r>
      <w:r w:rsidRPr="00090791">
        <w:rPr>
          <w:rStyle w:val="Hipervnculo"/>
          <w:color w:val="auto"/>
          <w:u w:val="none"/>
          <w:lang w:val="en-US"/>
        </w:rPr>
        <w:t xml:space="preserve">Quality Management System Implementation Base on Lean Principles and ISO 9001:2015 Standard in an Advanced Simulation Centre. </w:t>
      </w:r>
      <w:r w:rsidRPr="00090791">
        <w:rPr>
          <w:rStyle w:val="Hipervnculo"/>
          <w:i/>
          <w:color w:val="auto"/>
          <w:u w:val="none"/>
          <w:lang w:val="en-US"/>
        </w:rPr>
        <w:t xml:space="preserve">Clinical Simulation in Nursing, 51, </w:t>
      </w:r>
      <w:r w:rsidRPr="00090791">
        <w:rPr>
          <w:rStyle w:val="Hipervnculo"/>
          <w:color w:val="auto"/>
          <w:u w:val="none"/>
          <w:lang w:val="en-US"/>
        </w:rPr>
        <w:t xml:space="preserve">28-37. </w:t>
      </w:r>
      <w:hyperlink r:id="rId74" w:history="1">
        <w:r w:rsidRPr="00090791">
          <w:rPr>
            <w:rStyle w:val="Hipervnculo"/>
            <w:color w:val="auto"/>
            <w:u w:val="none"/>
            <w:lang w:val="en-US"/>
          </w:rPr>
          <w:t>https://doi.org/10.1016/j.ecns.2020.11.002</w:t>
        </w:r>
      </w:hyperlink>
    </w:p>
    <w:p w14:paraId="5FCB97F8" w14:textId="77777777" w:rsidR="00983984" w:rsidRPr="00090791" w:rsidRDefault="00983984" w:rsidP="004E1440">
      <w:pPr>
        <w:spacing w:line="360" w:lineRule="auto"/>
        <w:ind w:left="708" w:hanging="708"/>
        <w:jc w:val="both"/>
        <w:rPr>
          <w:rStyle w:val="Hipervnculo"/>
        </w:rPr>
      </w:pPr>
      <w:r w:rsidRPr="00090791">
        <w:t xml:space="preserve">Terán-Bustamante, A., Ramírez-Castillo, C. E. y Martínez-Velasco, A. (2020). Confiabilidad y validez de un instrumento de selección de capital humano. </w:t>
      </w:r>
      <w:r w:rsidRPr="00090791">
        <w:rPr>
          <w:i/>
        </w:rPr>
        <w:t>Revista Mexicana de Economía y Finanzas Nueva Época, 15</w:t>
      </w:r>
      <w:r w:rsidRPr="00090791">
        <w:t xml:space="preserve">, 435-454. </w:t>
      </w:r>
      <w:hyperlink r:id="rId75" w:history="1">
        <w:r w:rsidRPr="00090791">
          <w:rPr>
            <w:rStyle w:val="Hipervnculo"/>
          </w:rPr>
          <w:t>https://doi.org/10.21919/remef.v15i3.516</w:t>
        </w:r>
      </w:hyperlink>
    </w:p>
    <w:p w14:paraId="2091F171" w14:textId="77777777" w:rsidR="00983984" w:rsidRPr="00BF35C6" w:rsidRDefault="00983984" w:rsidP="004E1440">
      <w:pPr>
        <w:spacing w:line="360" w:lineRule="auto"/>
        <w:ind w:left="708" w:hanging="708"/>
        <w:jc w:val="both"/>
        <w:rPr>
          <w:rStyle w:val="Hipervnculo"/>
          <w:color w:val="auto"/>
          <w:u w:val="none"/>
        </w:rPr>
      </w:pPr>
      <w:r w:rsidRPr="00090791">
        <w:rPr>
          <w:rStyle w:val="Hipervnculo"/>
          <w:color w:val="auto"/>
          <w:u w:val="none"/>
        </w:rPr>
        <w:t xml:space="preserve">Ulloa-Bocanegra, S. G., Javez-Valladares, S. S., Tello-De la Cruz, E. y Cruz-Salinas, L. E. (2020). Gestión de Calidad bajo ISO 9001:2015 para aumentar la satisfacción del Cliente en C.E.L </w:t>
      </w:r>
      <w:r w:rsidRPr="00BF35C6">
        <w:rPr>
          <w:rStyle w:val="Hipervnculo"/>
          <w:color w:val="auto"/>
          <w:u w:val="none"/>
        </w:rPr>
        <w:t xml:space="preserve">Conache S.A.C,2020. </w:t>
      </w:r>
      <w:r w:rsidRPr="00BF35C6">
        <w:rPr>
          <w:rStyle w:val="Hipervnculo"/>
          <w:i/>
          <w:color w:val="auto"/>
          <w:u w:val="none"/>
          <w:lang w:val="en-US"/>
        </w:rPr>
        <w:t>Journal of Business and Entrepreneurial Studies</w:t>
      </w:r>
      <w:r w:rsidRPr="00BF35C6">
        <w:rPr>
          <w:rStyle w:val="Hipervnculo"/>
          <w:iCs/>
          <w:color w:val="auto"/>
          <w:u w:val="none"/>
          <w:lang w:val="en-US"/>
        </w:rPr>
        <w:t>,</w:t>
      </w:r>
      <w:r w:rsidRPr="00BF35C6">
        <w:rPr>
          <w:rStyle w:val="Hipervnculo"/>
          <w:i/>
          <w:color w:val="auto"/>
          <w:u w:val="none"/>
          <w:lang w:val="en-US"/>
        </w:rPr>
        <w:t xml:space="preserve"> </w:t>
      </w:r>
      <w:r w:rsidRPr="00BF35C6">
        <w:rPr>
          <w:rStyle w:val="Hipervnculo"/>
          <w:i/>
          <w:color w:val="auto"/>
          <w:u w:val="none"/>
        </w:rPr>
        <w:t>4</w:t>
      </w:r>
      <w:r w:rsidRPr="00BF35C6">
        <w:rPr>
          <w:rStyle w:val="Hipervnculo"/>
          <w:color w:val="auto"/>
          <w:u w:val="none"/>
        </w:rPr>
        <w:t xml:space="preserve">(3), 1-11. </w:t>
      </w:r>
      <w:hyperlink r:id="rId76" w:history="1">
        <w:r w:rsidRPr="00BF35C6">
          <w:rPr>
            <w:rStyle w:val="Hipervnculo"/>
            <w:color w:val="auto"/>
            <w:u w:val="none"/>
          </w:rPr>
          <w:t>https://www.redalyc.org/articulo.oa?id=573667939006</w:t>
        </w:r>
      </w:hyperlink>
    </w:p>
    <w:p w14:paraId="19E8488E" w14:textId="77777777" w:rsidR="00983984" w:rsidRPr="00090791" w:rsidRDefault="00983984" w:rsidP="004E1440">
      <w:pPr>
        <w:spacing w:line="360" w:lineRule="auto"/>
        <w:ind w:left="708" w:hanging="708"/>
        <w:jc w:val="both"/>
        <w:rPr>
          <w:rStyle w:val="Hipervnculo"/>
        </w:rPr>
      </w:pPr>
      <w:r w:rsidRPr="00090791">
        <w:t xml:space="preserve">Vázquez-Moctezuma, S. E. (2015). Tecnologías de almacenamiento de información en el ambiente digital. </w:t>
      </w:r>
      <w:r w:rsidRPr="00090791">
        <w:rPr>
          <w:i/>
        </w:rPr>
        <w:t>Revista e-Ciencias de la Información, 5</w:t>
      </w:r>
      <w:r w:rsidRPr="00090791">
        <w:t xml:space="preserve">(2), 1-18. </w:t>
      </w:r>
      <w:hyperlink r:id="rId77" w:history="1">
        <w:r w:rsidRPr="00090791">
          <w:rPr>
            <w:rStyle w:val="Hipervnculo"/>
          </w:rPr>
          <w:t>http://www.redalyc.org/articulo.oa?id=476847248008</w:t>
        </w:r>
      </w:hyperlink>
    </w:p>
    <w:p w14:paraId="7F343484" w14:textId="77777777" w:rsidR="00983984" w:rsidRPr="00090791" w:rsidRDefault="00983984" w:rsidP="002F576D">
      <w:pPr>
        <w:spacing w:line="360" w:lineRule="auto"/>
        <w:ind w:left="708" w:hanging="708"/>
        <w:jc w:val="both"/>
        <w:rPr>
          <w:rStyle w:val="Hipervnculo"/>
          <w:color w:val="auto"/>
          <w:u w:val="none"/>
        </w:rPr>
      </w:pPr>
      <w:r w:rsidRPr="00090791">
        <w:rPr>
          <w:rStyle w:val="Hipervnculo"/>
          <w:color w:val="auto"/>
          <w:u w:val="none"/>
        </w:rPr>
        <w:t xml:space="preserve">Vega-Falcon, V., Leyva-Vázquez, M. Y. y Batista-Hernández, N. (2023). Desarrollo y validación de un cuestionario para evaluar el conocimiento en metodología de la investigación. </w:t>
      </w:r>
      <w:r w:rsidRPr="00090791">
        <w:rPr>
          <w:rStyle w:val="Hipervnculo"/>
          <w:i/>
          <w:color w:val="auto"/>
          <w:u w:val="none"/>
        </w:rPr>
        <w:t>Revista Conrado, 19</w:t>
      </w:r>
      <w:r w:rsidRPr="00090791">
        <w:rPr>
          <w:rStyle w:val="Hipervnculo"/>
          <w:color w:val="auto"/>
          <w:u w:val="none"/>
        </w:rPr>
        <w:t xml:space="preserve">(S2), 51-60. </w:t>
      </w:r>
      <w:hyperlink r:id="rId78" w:history="1">
        <w:r w:rsidRPr="00090791">
          <w:rPr>
            <w:rStyle w:val="Hipervnculo"/>
            <w:color w:val="auto"/>
            <w:u w:val="none"/>
          </w:rPr>
          <w:t>https://conrado.ucf.edu.cu/index.php/conrado/article/view/3232</w:t>
        </w:r>
      </w:hyperlink>
    </w:p>
    <w:p w14:paraId="10CFB05B" w14:textId="77777777" w:rsidR="00983984" w:rsidRDefault="00983984" w:rsidP="002F576D">
      <w:pPr>
        <w:spacing w:line="360" w:lineRule="auto"/>
        <w:ind w:left="708" w:hanging="708"/>
        <w:jc w:val="both"/>
        <w:rPr>
          <w:rStyle w:val="Hipervnculo"/>
          <w:color w:val="auto"/>
          <w:u w:val="none"/>
        </w:rPr>
      </w:pPr>
      <w:r w:rsidRPr="00090791">
        <w:rPr>
          <w:rStyle w:val="Hipervnculo"/>
          <w:color w:val="auto"/>
          <w:u w:val="none"/>
        </w:rPr>
        <w:lastRenderedPageBreak/>
        <w:t>Yamoah-Agyemang, D., Wah-Fong</w:t>
      </w:r>
      <w:r w:rsidRPr="00BF35C6">
        <w:rPr>
          <w:rStyle w:val="Hipervnculo"/>
          <w:color w:val="auto"/>
          <w:u w:val="none"/>
        </w:rPr>
        <w:t xml:space="preserve">, P. S. and </w:t>
      </w:r>
      <w:r w:rsidRPr="00090791">
        <w:rPr>
          <w:rStyle w:val="Hipervnculo"/>
          <w:color w:val="auto"/>
          <w:u w:val="none"/>
        </w:rPr>
        <w:t xml:space="preserve">Kissi, E. (2019). </w:t>
      </w:r>
      <w:r w:rsidRPr="00090791">
        <w:rPr>
          <w:rStyle w:val="Hipervnculo"/>
          <w:color w:val="auto"/>
          <w:u w:val="none"/>
          <w:lang w:val="en-US"/>
        </w:rPr>
        <w:t xml:space="preserve">The influence of organizational infrastructure on organizational efectiveness in the constrution industry. </w:t>
      </w:r>
      <w:r w:rsidRPr="00090791">
        <w:rPr>
          <w:rStyle w:val="Hipervnculo"/>
          <w:i/>
          <w:color w:val="auto"/>
          <w:u w:val="none"/>
          <w:lang w:val="en-US"/>
        </w:rPr>
        <w:t>CIB World Building Congress 2019</w:t>
      </w:r>
      <w:r w:rsidRPr="00090791">
        <w:rPr>
          <w:rStyle w:val="Hipervnculo"/>
          <w:color w:val="auto"/>
          <w:u w:val="none"/>
        </w:rPr>
        <w:t xml:space="preserve">, 1-17. </w:t>
      </w:r>
      <w:hyperlink r:id="rId79" w:history="1">
        <w:r w:rsidRPr="00090791">
          <w:rPr>
            <w:rStyle w:val="Hipervnculo"/>
            <w:color w:val="auto"/>
            <w:u w:val="none"/>
          </w:rPr>
          <w:t>https://ira.lib.polyu.edu.hk/handle/10397/88027</w:t>
        </w:r>
      </w:hyperlink>
    </w:p>
    <w:p w14:paraId="27443036" w14:textId="77777777" w:rsidR="009E5C97" w:rsidRDefault="009E5C97" w:rsidP="002F576D">
      <w:pPr>
        <w:spacing w:line="360" w:lineRule="auto"/>
        <w:ind w:left="708" w:hanging="708"/>
        <w:jc w:val="both"/>
        <w:rPr>
          <w:rStyle w:val="Hipervnculo"/>
          <w:color w:val="auto"/>
          <w:u w:val="none"/>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E5C97" w:rsidRPr="009E5C97" w14:paraId="2BEF449D" w14:textId="77777777" w:rsidTr="009E5C97">
        <w:trPr>
          <w:jc w:val="center"/>
        </w:trPr>
        <w:tc>
          <w:tcPr>
            <w:tcW w:w="3045" w:type="dxa"/>
            <w:shd w:val="clear" w:color="auto" w:fill="auto"/>
            <w:tcMar>
              <w:top w:w="100" w:type="dxa"/>
              <w:left w:w="100" w:type="dxa"/>
              <w:bottom w:w="100" w:type="dxa"/>
              <w:right w:w="100" w:type="dxa"/>
            </w:tcMar>
          </w:tcPr>
          <w:p w14:paraId="50FBC1C3" w14:textId="77777777" w:rsidR="009E5C97" w:rsidRPr="009E5C97" w:rsidRDefault="009E5C97" w:rsidP="00BA03E1">
            <w:pPr>
              <w:pStyle w:val="Ttulo3"/>
              <w:widowControl w:val="0"/>
              <w:spacing w:before="0" w:line="240" w:lineRule="auto"/>
              <w:ind w:left="0"/>
              <w:rPr>
                <w:rFonts w:ascii="Times New Roman" w:hAnsi="Times New Roman" w:cs="Times New Roman"/>
                <w:b w:val="0"/>
                <w:bCs/>
                <w:color w:val="auto"/>
                <w:lang w:val="es-MX"/>
              </w:rPr>
            </w:pPr>
            <w:r w:rsidRPr="009E5C97">
              <w:rPr>
                <w:rFonts w:ascii="Times New Roman" w:hAnsi="Times New Roman" w:cs="Times New Roman"/>
                <w:b w:val="0"/>
                <w:bCs/>
                <w:color w:val="auto"/>
                <w:lang w:val="es-MX"/>
              </w:rPr>
              <w:t>Rol de Contribución</w:t>
            </w:r>
          </w:p>
        </w:tc>
        <w:tc>
          <w:tcPr>
            <w:tcW w:w="6315" w:type="dxa"/>
            <w:shd w:val="clear" w:color="auto" w:fill="auto"/>
            <w:tcMar>
              <w:top w:w="100" w:type="dxa"/>
              <w:left w:w="100" w:type="dxa"/>
              <w:bottom w:w="100" w:type="dxa"/>
              <w:right w:w="100" w:type="dxa"/>
            </w:tcMar>
          </w:tcPr>
          <w:p w14:paraId="65453AD7" w14:textId="00BF75F9" w:rsidR="009E5C97" w:rsidRPr="009E5C97" w:rsidRDefault="009E5C97" w:rsidP="00BA03E1">
            <w:pPr>
              <w:pStyle w:val="Ttulo3"/>
              <w:widowControl w:val="0"/>
              <w:spacing w:before="0" w:line="240" w:lineRule="auto"/>
              <w:ind w:left="0"/>
              <w:rPr>
                <w:rFonts w:ascii="Times New Roman" w:hAnsi="Times New Roman" w:cs="Times New Roman"/>
                <w:b w:val="0"/>
                <w:bCs/>
                <w:color w:val="auto"/>
                <w:lang w:val="es-MX"/>
              </w:rPr>
            </w:pPr>
            <w:bookmarkStart w:id="1" w:name="_btsjgdfgjwkr" w:colFirst="0" w:colLast="0"/>
            <w:bookmarkEnd w:id="1"/>
            <w:r>
              <w:rPr>
                <w:rFonts w:ascii="Times New Roman" w:hAnsi="Times New Roman" w:cs="Times New Roman"/>
                <w:b w:val="0"/>
                <w:bCs/>
                <w:color w:val="auto"/>
                <w:lang w:val="es-MX"/>
              </w:rPr>
              <w:t>Autor (es)</w:t>
            </w:r>
          </w:p>
        </w:tc>
      </w:tr>
      <w:tr w:rsidR="009E5C97" w:rsidRPr="009E5C97" w14:paraId="1C5C97BC" w14:textId="77777777" w:rsidTr="009E5C97">
        <w:trPr>
          <w:jc w:val="center"/>
        </w:trPr>
        <w:tc>
          <w:tcPr>
            <w:tcW w:w="3045" w:type="dxa"/>
            <w:shd w:val="clear" w:color="auto" w:fill="auto"/>
            <w:tcMar>
              <w:top w:w="100" w:type="dxa"/>
              <w:left w:w="100" w:type="dxa"/>
              <w:bottom w:w="100" w:type="dxa"/>
              <w:right w:w="100" w:type="dxa"/>
            </w:tcMar>
          </w:tcPr>
          <w:p w14:paraId="15281434" w14:textId="77777777" w:rsidR="009E5C97" w:rsidRPr="009E5C97" w:rsidRDefault="009E5C97" w:rsidP="00BA03E1">
            <w:pPr>
              <w:widowControl w:val="0"/>
              <w:rPr>
                <w:bCs/>
              </w:rPr>
            </w:pPr>
            <w:r w:rsidRPr="009E5C97">
              <w:rPr>
                <w:bCs/>
              </w:rPr>
              <w:t>Conceptualización</w:t>
            </w:r>
          </w:p>
        </w:tc>
        <w:tc>
          <w:tcPr>
            <w:tcW w:w="6315" w:type="dxa"/>
            <w:shd w:val="clear" w:color="auto" w:fill="auto"/>
            <w:tcMar>
              <w:top w:w="100" w:type="dxa"/>
              <w:left w:w="100" w:type="dxa"/>
              <w:bottom w:w="100" w:type="dxa"/>
              <w:right w:w="100" w:type="dxa"/>
            </w:tcMar>
          </w:tcPr>
          <w:p w14:paraId="3D9BC836" w14:textId="77777777" w:rsidR="009E5C97" w:rsidRPr="009E5C97" w:rsidRDefault="009E5C97" w:rsidP="00BA03E1">
            <w:pPr>
              <w:widowControl w:val="0"/>
              <w:rPr>
                <w:bCs/>
              </w:rPr>
            </w:pPr>
            <w:r w:rsidRPr="009E5C97">
              <w:rPr>
                <w:bCs/>
              </w:rPr>
              <w:t>Jesús Guillermo Sotelo Asef</w:t>
            </w:r>
          </w:p>
        </w:tc>
      </w:tr>
      <w:tr w:rsidR="009E5C97" w:rsidRPr="009E5C97" w14:paraId="67736E38" w14:textId="77777777" w:rsidTr="009E5C97">
        <w:trPr>
          <w:jc w:val="center"/>
        </w:trPr>
        <w:tc>
          <w:tcPr>
            <w:tcW w:w="3045" w:type="dxa"/>
            <w:shd w:val="clear" w:color="auto" w:fill="auto"/>
            <w:tcMar>
              <w:top w:w="100" w:type="dxa"/>
              <w:left w:w="100" w:type="dxa"/>
              <w:bottom w:w="100" w:type="dxa"/>
              <w:right w:w="100" w:type="dxa"/>
            </w:tcMar>
          </w:tcPr>
          <w:p w14:paraId="2735D227" w14:textId="77777777" w:rsidR="009E5C97" w:rsidRPr="009E5C97" w:rsidRDefault="009E5C97" w:rsidP="00BA03E1">
            <w:pPr>
              <w:widowControl w:val="0"/>
              <w:rPr>
                <w:bCs/>
              </w:rPr>
            </w:pPr>
            <w:r w:rsidRPr="009E5C97">
              <w:rPr>
                <w:bCs/>
              </w:rPr>
              <w:t>Metodología</w:t>
            </w:r>
          </w:p>
        </w:tc>
        <w:tc>
          <w:tcPr>
            <w:tcW w:w="6315" w:type="dxa"/>
            <w:shd w:val="clear" w:color="auto" w:fill="auto"/>
            <w:tcMar>
              <w:top w:w="100" w:type="dxa"/>
              <w:left w:w="100" w:type="dxa"/>
              <w:bottom w:w="100" w:type="dxa"/>
              <w:right w:w="100" w:type="dxa"/>
            </w:tcMar>
          </w:tcPr>
          <w:p w14:paraId="56CBE740" w14:textId="77777777" w:rsidR="009E5C97" w:rsidRPr="009E5C97" w:rsidRDefault="009E5C97" w:rsidP="00BA03E1">
            <w:pPr>
              <w:widowControl w:val="0"/>
              <w:rPr>
                <w:bCs/>
              </w:rPr>
            </w:pPr>
            <w:r w:rsidRPr="009E5C97">
              <w:rPr>
                <w:bCs/>
              </w:rPr>
              <w:t>Jesús Guillermo Sotelo Asef igual Sergio Ivan López Domínguez</w:t>
            </w:r>
          </w:p>
        </w:tc>
      </w:tr>
      <w:tr w:rsidR="009E5C97" w:rsidRPr="009E5C97" w14:paraId="1478D11F" w14:textId="77777777" w:rsidTr="009E5C97">
        <w:trPr>
          <w:jc w:val="center"/>
        </w:trPr>
        <w:tc>
          <w:tcPr>
            <w:tcW w:w="3045" w:type="dxa"/>
            <w:shd w:val="clear" w:color="auto" w:fill="auto"/>
            <w:tcMar>
              <w:top w:w="100" w:type="dxa"/>
              <w:left w:w="100" w:type="dxa"/>
              <w:bottom w:w="100" w:type="dxa"/>
              <w:right w:w="100" w:type="dxa"/>
            </w:tcMar>
          </w:tcPr>
          <w:p w14:paraId="525850BB" w14:textId="77777777" w:rsidR="009E5C97" w:rsidRPr="009E5C97" w:rsidRDefault="009E5C97" w:rsidP="00BA03E1">
            <w:pPr>
              <w:widowControl w:val="0"/>
              <w:rPr>
                <w:bCs/>
              </w:rPr>
            </w:pPr>
            <w:r w:rsidRPr="009E5C97">
              <w:rPr>
                <w:bCs/>
              </w:rPr>
              <w:t>Software</w:t>
            </w:r>
          </w:p>
        </w:tc>
        <w:tc>
          <w:tcPr>
            <w:tcW w:w="6315" w:type="dxa"/>
            <w:shd w:val="clear" w:color="auto" w:fill="auto"/>
            <w:tcMar>
              <w:top w:w="100" w:type="dxa"/>
              <w:left w:w="100" w:type="dxa"/>
              <w:bottom w:w="100" w:type="dxa"/>
              <w:right w:w="100" w:type="dxa"/>
            </w:tcMar>
          </w:tcPr>
          <w:p w14:paraId="211DEF7A" w14:textId="77777777" w:rsidR="009E5C97" w:rsidRPr="009E5C97" w:rsidRDefault="009E5C97" w:rsidP="00BA03E1">
            <w:pPr>
              <w:widowControl w:val="0"/>
              <w:rPr>
                <w:bCs/>
              </w:rPr>
            </w:pPr>
            <w:r w:rsidRPr="009E5C97">
              <w:rPr>
                <w:bCs/>
              </w:rPr>
              <w:t>Jesús Guillermo Sotelo Asef igual Sergio Ivan López Domínguez igual Manuela Vargas Hernández</w:t>
            </w:r>
          </w:p>
        </w:tc>
      </w:tr>
      <w:tr w:rsidR="009E5C97" w:rsidRPr="009E5C97" w14:paraId="067A5BE0" w14:textId="77777777" w:rsidTr="009E5C97">
        <w:trPr>
          <w:jc w:val="center"/>
        </w:trPr>
        <w:tc>
          <w:tcPr>
            <w:tcW w:w="3045" w:type="dxa"/>
            <w:shd w:val="clear" w:color="auto" w:fill="auto"/>
            <w:tcMar>
              <w:top w:w="100" w:type="dxa"/>
              <w:left w:w="100" w:type="dxa"/>
              <w:bottom w:w="100" w:type="dxa"/>
              <w:right w:w="100" w:type="dxa"/>
            </w:tcMar>
          </w:tcPr>
          <w:p w14:paraId="79FB55C5" w14:textId="77777777" w:rsidR="009E5C97" w:rsidRPr="009E5C97" w:rsidRDefault="009E5C97" w:rsidP="00BA03E1">
            <w:pPr>
              <w:widowControl w:val="0"/>
              <w:rPr>
                <w:bCs/>
              </w:rPr>
            </w:pPr>
            <w:r w:rsidRPr="009E5C97">
              <w:rPr>
                <w:bCs/>
              </w:rPr>
              <w:t>Validación</w:t>
            </w:r>
          </w:p>
        </w:tc>
        <w:tc>
          <w:tcPr>
            <w:tcW w:w="6315" w:type="dxa"/>
            <w:shd w:val="clear" w:color="auto" w:fill="auto"/>
            <w:tcMar>
              <w:top w:w="100" w:type="dxa"/>
              <w:left w:w="100" w:type="dxa"/>
              <w:bottom w:w="100" w:type="dxa"/>
              <w:right w:w="100" w:type="dxa"/>
            </w:tcMar>
          </w:tcPr>
          <w:p w14:paraId="3A1659A8" w14:textId="77777777" w:rsidR="009E5C97" w:rsidRPr="009E5C97" w:rsidRDefault="009E5C97" w:rsidP="00BA03E1">
            <w:pPr>
              <w:widowControl w:val="0"/>
              <w:rPr>
                <w:bCs/>
              </w:rPr>
            </w:pPr>
            <w:r w:rsidRPr="009E5C97">
              <w:rPr>
                <w:bCs/>
              </w:rPr>
              <w:t>Sergio Ivan López Domínguez.</w:t>
            </w:r>
          </w:p>
        </w:tc>
      </w:tr>
      <w:tr w:rsidR="009E5C97" w:rsidRPr="009E5C97" w14:paraId="3B243EF5" w14:textId="77777777" w:rsidTr="009E5C97">
        <w:trPr>
          <w:jc w:val="center"/>
        </w:trPr>
        <w:tc>
          <w:tcPr>
            <w:tcW w:w="3045" w:type="dxa"/>
            <w:shd w:val="clear" w:color="auto" w:fill="auto"/>
            <w:tcMar>
              <w:top w:w="100" w:type="dxa"/>
              <w:left w:w="100" w:type="dxa"/>
              <w:bottom w:w="100" w:type="dxa"/>
              <w:right w:w="100" w:type="dxa"/>
            </w:tcMar>
          </w:tcPr>
          <w:p w14:paraId="1F234BB0" w14:textId="77777777" w:rsidR="009E5C97" w:rsidRPr="009E5C97" w:rsidRDefault="009E5C97" w:rsidP="00BA03E1">
            <w:pPr>
              <w:widowControl w:val="0"/>
              <w:rPr>
                <w:bCs/>
              </w:rPr>
            </w:pPr>
            <w:r w:rsidRPr="009E5C97">
              <w:rPr>
                <w:bCs/>
              </w:rPr>
              <w:t>Análisis Formal</w:t>
            </w:r>
          </w:p>
        </w:tc>
        <w:tc>
          <w:tcPr>
            <w:tcW w:w="6315" w:type="dxa"/>
            <w:shd w:val="clear" w:color="auto" w:fill="auto"/>
            <w:tcMar>
              <w:top w:w="100" w:type="dxa"/>
              <w:left w:w="100" w:type="dxa"/>
              <w:bottom w:w="100" w:type="dxa"/>
              <w:right w:w="100" w:type="dxa"/>
            </w:tcMar>
          </w:tcPr>
          <w:p w14:paraId="281B51F7" w14:textId="77777777" w:rsidR="009E5C97" w:rsidRPr="009E5C97" w:rsidRDefault="009E5C97" w:rsidP="00BA03E1">
            <w:pPr>
              <w:widowControl w:val="0"/>
              <w:rPr>
                <w:bCs/>
              </w:rPr>
            </w:pPr>
            <w:r w:rsidRPr="009E5C97">
              <w:rPr>
                <w:bCs/>
              </w:rPr>
              <w:t>Sergio Ivan López Domínguez</w:t>
            </w:r>
          </w:p>
        </w:tc>
      </w:tr>
      <w:tr w:rsidR="009E5C97" w:rsidRPr="009E5C97" w14:paraId="2746312D" w14:textId="77777777" w:rsidTr="009E5C97">
        <w:trPr>
          <w:jc w:val="center"/>
        </w:trPr>
        <w:tc>
          <w:tcPr>
            <w:tcW w:w="3045" w:type="dxa"/>
            <w:shd w:val="clear" w:color="auto" w:fill="auto"/>
            <w:tcMar>
              <w:top w:w="100" w:type="dxa"/>
              <w:left w:w="100" w:type="dxa"/>
              <w:bottom w:w="100" w:type="dxa"/>
              <w:right w:w="100" w:type="dxa"/>
            </w:tcMar>
          </w:tcPr>
          <w:p w14:paraId="789008C1" w14:textId="77777777" w:rsidR="009E5C97" w:rsidRPr="009E5C97" w:rsidRDefault="009E5C97" w:rsidP="00BA03E1">
            <w:pPr>
              <w:widowControl w:val="0"/>
              <w:rPr>
                <w:bCs/>
              </w:rPr>
            </w:pPr>
            <w:r w:rsidRPr="009E5C97">
              <w:rPr>
                <w:bCs/>
              </w:rPr>
              <w:t>Investigación</w:t>
            </w:r>
          </w:p>
        </w:tc>
        <w:tc>
          <w:tcPr>
            <w:tcW w:w="6315" w:type="dxa"/>
            <w:shd w:val="clear" w:color="auto" w:fill="auto"/>
            <w:tcMar>
              <w:top w:w="100" w:type="dxa"/>
              <w:left w:w="100" w:type="dxa"/>
              <w:bottom w:w="100" w:type="dxa"/>
              <w:right w:w="100" w:type="dxa"/>
            </w:tcMar>
          </w:tcPr>
          <w:p w14:paraId="48ACC674" w14:textId="77777777" w:rsidR="009E5C97" w:rsidRPr="009E5C97" w:rsidRDefault="009E5C97" w:rsidP="00BA03E1">
            <w:pPr>
              <w:widowControl w:val="0"/>
              <w:rPr>
                <w:bCs/>
              </w:rPr>
            </w:pPr>
            <w:r w:rsidRPr="009E5C97">
              <w:rPr>
                <w:bCs/>
              </w:rPr>
              <w:t>Jesús Guillermo Sotelo Asef igual Sergio Ivan López Domínguez igual Manuela Vargas Hernández</w:t>
            </w:r>
          </w:p>
        </w:tc>
      </w:tr>
      <w:tr w:rsidR="009E5C97" w:rsidRPr="009E5C97" w14:paraId="05D738F9" w14:textId="77777777" w:rsidTr="009E5C97">
        <w:trPr>
          <w:jc w:val="center"/>
        </w:trPr>
        <w:tc>
          <w:tcPr>
            <w:tcW w:w="3045" w:type="dxa"/>
            <w:shd w:val="clear" w:color="auto" w:fill="auto"/>
            <w:tcMar>
              <w:top w:w="100" w:type="dxa"/>
              <w:left w:w="100" w:type="dxa"/>
              <w:bottom w:w="100" w:type="dxa"/>
              <w:right w:w="100" w:type="dxa"/>
            </w:tcMar>
          </w:tcPr>
          <w:p w14:paraId="4AD94771" w14:textId="77777777" w:rsidR="009E5C97" w:rsidRPr="009E5C97" w:rsidRDefault="009E5C97" w:rsidP="00BA03E1">
            <w:pPr>
              <w:widowControl w:val="0"/>
              <w:rPr>
                <w:bCs/>
              </w:rPr>
            </w:pPr>
            <w:r w:rsidRPr="009E5C97">
              <w:rPr>
                <w:bCs/>
              </w:rPr>
              <w:t>Recursos</w:t>
            </w:r>
          </w:p>
        </w:tc>
        <w:tc>
          <w:tcPr>
            <w:tcW w:w="6315" w:type="dxa"/>
            <w:shd w:val="clear" w:color="auto" w:fill="auto"/>
            <w:tcMar>
              <w:top w:w="100" w:type="dxa"/>
              <w:left w:w="100" w:type="dxa"/>
              <w:bottom w:w="100" w:type="dxa"/>
              <w:right w:w="100" w:type="dxa"/>
            </w:tcMar>
          </w:tcPr>
          <w:p w14:paraId="0C968775" w14:textId="77777777" w:rsidR="009E5C97" w:rsidRPr="009E5C97" w:rsidRDefault="009E5C97" w:rsidP="00BA03E1">
            <w:pPr>
              <w:widowControl w:val="0"/>
              <w:rPr>
                <w:bCs/>
              </w:rPr>
            </w:pPr>
            <w:r w:rsidRPr="009E5C97">
              <w:rPr>
                <w:bCs/>
              </w:rPr>
              <w:t>Jesús Guillermo Sotelo Asef igual Sergio Ivan López Domínguez igual Manuela Vargas Hernández</w:t>
            </w:r>
          </w:p>
        </w:tc>
      </w:tr>
      <w:tr w:rsidR="009E5C97" w:rsidRPr="009E5C97" w14:paraId="7EF82095" w14:textId="77777777" w:rsidTr="009E5C97">
        <w:trPr>
          <w:jc w:val="center"/>
        </w:trPr>
        <w:tc>
          <w:tcPr>
            <w:tcW w:w="3045" w:type="dxa"/>
            <w:shd w:val="clear" w:color="auto" w:fill="auto"/>
            <w:tcMar>
              <w:top w:w="100" w:type="dxa"/>
              <w:left w:w="100" w:type="dxa"/>
              <w:bottom w:w="100" w:type="dxa"/>
              <w:right w:w="100" w:type="dxa"/>
            </w:tcMar>
          </w:tcPr>
          <w:p w14:paraId="2CB1550A" w14:textId="77777777" w:rsidR="009E5C97" w:rsidRPr="009E5C97" w:rsidRDefault="009E5C97" w:rsidP="00BA03E1">
            <w:pPr>
              <w:widowControl w:val="0"/>
              <w:rPr>
                <w:bCs/>
              </w:rPr>
            </w:pPr>
            <w:r w:rsidRPr="009E5C97">
              <w:rPr>
                <w:bCs/>
              </w:rPr>
              <w:t>Curación de datos</w:t>
            </w:r>
          </w:p>
        </w:tc>
        <w:tc>
          <w:tcPr>
            <w:tcW w:w="6315" w:type="dxa"/>
            <w:shd w:val="clear" w:color="auto" w:fill="auto"/>
            <w:tcMar>
              <w:top w:w="100" w:type="dxa"/>
              <w:left w:w="100" w:type="dxa"/>
              <w:bottom w:w="100" w:type="dxa"/>
              <w:right w:w="100" w:type="dxa"/>
            </w:tcMar>
          </w:tcPr>
          <w:p w14:paraId="2A183D65" w14:textId="77777777" w:rsidR="009E5C97" w:rsidRPr="009E5C97" w:rsidRDefault="009E5C97" w:rsidP="00BA03E1">
            <w:pPr>
              <w:widowControl w:val="0"/>
              <w:rPr>
                <w:bCs/>
              </w:rPr>
            </w:pPr>
            <w:r w:rsidRPr="009E5C97">
              <w:rPr>
                <w:bCs/>
              </w:rPr>
              <w:t>Sergio Ivan López Domínguez</w:t>
            </w:r>
          </w:p>
        </w:tc>
      </w:tr>
      <w:tr w:rsidR="009E5C97" w:rsidRPr="009E5C97" w14:paraId="23C389E0" w14:textId="77777777" w:rsidTr="009E5C97">
        <w:trPr>
          <w:jc w:val="center"/>
        </w:trPr>
        <w:tc>
          <w:tcPr>
            <w:tcW w:w="3045" w:type="dxa"/>
            <w:shd w:val="clear" w:color="auto" w:fill="auto"/>
            <w:tcMar>
              <w:top w:w="100" w:type="dxa"/>
              <w:left w:w="100" w:type="dxa"/>
              <w:bottom w:w="100" w:type="dxa"/>
              <w:right w:w="100" w:type="dxa"/>
            </w:tcMar>
          </w:tcPr>
          <w:p w14:paraId="1006EC9E" w14:textId="77777777" w:rsidR="009E5C97" w:rsidRPr="009E5C97" w:rsidRDefault="009E5C97" w:rsidP="00BA03E1">
            <w:pPr>
              <w:widowControl w:val="0"/>
              <w:rPr>
                <w:bCs/>
              </w:rPr>
            </w:pPr>
            <w:r w:rsidRPr="009E5C97">
              <w:rPr>
                <w:bCs/>
              </w:rPr>
              <w:t>Escritura - Preparación del borrador original</w:t>
            </w:r>
          </w:p>
        </w:tc>
        <w:tc>
          <w:tcPr>
            <w:tcW w:w="6315" w:type="dxa"/>
            <w:shd w:val="clear" w:color="auto" w:fill="auto"/>
            <w:tcMar>
              <w:top w:w="100" w:type="dxa"/>
              <w:left w:w="100" w:type="dxa"/>
              <w:bottom w:w="100" w:type="dxa"/>
              <w:right w:w="100" w:type="dxa"/>
            </w:tcMar>
          </w:tcPr>
          <w:p w14:paraId="74B01FDE" w14:textId="77777777" w:rsidR="009E5C97" w:rsidRPr="009E5C97" w:rsidRDefault="009E5C97" w:rsidP="00BA03E1">
            <w:pPr>
              <w:widowControl w:val="0"/>
              <w:rPr>
                <w:bCs/>
              </w:rPr>
            </w:pPr>
            <w:r w:rsidRPr="009E5C97">
              <w:rPr>
                <w:bCs/>
              </w:rPr>
              <w:t>Sergio Ivan López Domínguez</w:t>
            </w:r>
          </w:p>
        </w:tc>
      </w:tr>
      <w:tr w:rsidR="009E5C97" w:rsidRPr="009E5C97" w14:paraId="31687C1D" w14:textId="77777777" w:rsidTr="009E5C97">
        <w:trPr>
          <w:jc w:val="center"/>
        </w:trPr>
        <w:tc>
          <w:tcPr>
            <w:tcW w:w="3045" w:type="dxa"/>
            <w:shd w:val="clear" w:color="auto" w:fill="auto"/>
            <w:tcMar>
              <w:top w:w="100" w:type="dxa"/>
              <w:left w:w="100" w:type="dxa"/>
              <w:bottom w:w="100" w:type="dxa"/>
              <w:right w:w="100" w:type="dxa"/>
            </w:tcMar>
          </w:tcPr>
          <w:p w14:paraId="1F8D2487" w14:textId="77777777" w:rsidR="009E5C97" w:rsidRPr="009E5C97" w:rsidRDefault="009E5C97" w:rsidP="00BA03E1">
            <w:pPr>
              <w:widowControl w:val="0"/>
              <w:rPr>
                <w:bCs/>
              </w:rPr>
            </w:pPr>
            <w:r w:rsidRPr="009E5C97">
              <w:rPr>
                <w:bCs/>
              </w:rPr>
              <w:t>Escritura - Revisión y edición</w:t>
            </w:r>
          </w:p>
        </w:tc>
        <w:tc>
          <w:tcPr>
            <w:tcW w:w="6315" w:type="dxa"/>
            <w:shd w:val="clear" w:color="auto" w:fill="auto"/>
            <w:tcMar>
              <w:top w:w="100" w:type="dxa"/>
              <w:left w:w="100" w:type="dxa"/>
              <w:bottom w:w="100" w:type="dxa"/>
              <w:right w:w="100" w:type="dxa"/>
            </w:tcMar>
          </w:tcPr>
          <w:p w14:paraId="04BF13D5" w14:textId="77777777" w:rsidR="009E5C97" w:rsidRPr="009E5C97" w:rsidRDefault="009E5C97" w:rsidP="00BA03E1">
            <w:pPr>
              <w:widowControl w:val="0"/>
              <w:rPr>
                <w:bCs/>
              </w:rPr>
            </w:pPr>
            <w:r w:rsidRPr="009E5C97">
              <w:rPr>
                <w:bCs/>
              </w:rPr>
              <w:t>Jesús Guillermo Sotelo Asef igual Sergio Ivan López Domínguez igual Manuela Vargas Hernández</w:t>
            </w:r>
          </w:p>
        </w:tc>
      </w:tr>
      <w:tr w:rsidR="009E5C97" w:rsidRPr="009E5C97" w14:paraId="608B3684" w14:textId="77777777" w:rsidTr="009E5C97">
        <w:trPr>
          <w:jc w:val="center"/>
        </w:trPr>
        <w:tc>
          <w:tcPr>
            <w:tcW w:w="3045" w:type="dxa"/>
            <w:shd w:val="clear" w:color="auto" w:fill="auto"/>
            <w:tcMar>
              <w:top w:w="100" w:type="dxa"/>
              <w:left w:w="100" w:type="dxa"/>
              <w:bottom w:w="100" w:type="dxa"/>
              <w:right w:w="100" w:type="dxa"/>
            </w:tcMar>
          </w:tcPr>
          <w:p w14:paraId="106E450C" w14:textId="77777777" w:rsidR="009E5C97" w:rsidRPr="009E5C97" w:rsidRDefault="009E5C97" w:rsidP="00BA03E1">
            <w:pPr>
              <w:widowControl w:val="0"/>
              <w:rPr>
                <w:bCs/>
              </w:rPr>
            </w:pPr>
            <w:r w:rsidRPr="009E5C97">
              <w:rPr>
                <w:bCs/>
              </w:rPr>
              <w:t>Visualización</w:t>
            </w:r>
          </w:p>
        </w:tc>
        <w:tc>
          <w:tcPr>
            <w:tcW w:w="6315" w:type="dxa"/>
            <w:shd w:val="clear" w:color="auto" w:fill="auto"/>
            <w:tcMar>
              <w:top w:w="100" w:type="dxa"/>
              <w:left w:w="100" w:type="dxa"/>
              <w:bottom w:w="100" w:type="dxa"/>
              <w:right w:w="100" w:type="dxa"/>
            </w:tcMar>
          </w:tcPr>
          <w:p w14:paraId="715B8F09" w14:textId="77777777" w:rsidR="009E5C97" w:rsidRPr="009E5C97" w:rsidRDefault="009E5C97" w:rsidP="00BA03E1">
            <w:pPr>
              <w:widowControl w:val="0"/>
              <w:rPr>
                <w:bCs/>
              </w:rPr>
            </w:pPr>
            <w:r w:rsidRPr="009E5C97">
              <w:rPr>
                <w:bCs/>
              </w:rPr>
              <w:t>Jesús Guillermo Sotelo Asef igual Sergio Ivan López Domínguez igual Manuela Vargas Hernández</w:t>
            </w:r>
          </w:p>
        </w:tc>
      </w:tr>
      <w:tr w:rsidR="009E5C97" w:rsidRPr="009E5C97" w14:paraId="56944A55" w14:textId="77777777" w:rsidTr="009E5C97">
        <w:trPr>
          <w:jc w:val="center"/>
        </w:trPr>
        <w:tc>
          <w:tcPr>
            <w:tcW w:w="3045" w:type="dxa"/>
            <w:shd w:val="clear" w:color="auto" w:fill="auto"/>
            <w:tcMar>
              <w:top w:w="100" w:type="dxa"/>
              <w:left w:w="100" w:type="dxa"/>
              <w:bottom w:w="100" w:type="dxa"/>
              <w:right w:w="100" w:type="dxa"/>
            </w:tcMar>
          </w:tcPr>
          <w:p w14:paraId="57B755AC" w14:textId="77777777" w:rsidR="009E5C97" w:rsidRPr="009E5C97" w:rsidRDefault="009E5C97" w:rsidP="00BA03E1">
            <w:pPr>
              <w:widowControl w:val="0"/>
              <w:rPr>
                <w:bCs/>
              </w:rPr>
            </w:pPr>
            <w:r w:rsidRPr="009E5C97">
              <w:rPr>
                <w:bCs/>
              </w:rPr>
              <w:t>Supervisión</w:t>
            </w:r>
          </w:p>
        </w:tc>
        <w:tc>
          <w:tcPr>
            <w:tcW w:w="6315" w:type="dxa"/>
            <w:shd w:val="clear" w:color="auto" w:fill="auto"/>
            <w:tcMar>
              <w:top w:w="100" w:type="dxa"/>
              <w:left w:w="100" w:type="dxa"/>
              <w:bottom w:w="100" w:type="dxa"/>
              <w:right w:w="100" w:type="dxa"/>
            </w:tcMar>
          </w:tcPr>
          <w:p w14:paraId="2F5E7AA8" w14:textId="77777777" w:rsidR="009E5C97" w:rsidRPr="009E5C97" w:rsidRDefault="009E5C97" w:rsidP="00BA03E1">
            <w:pPr>
              <w:widowControl w:val="0"/>
              <w:rPr>
                <w:bCs/>
              </w:rPr>
            </w:pPr>
            <w:r w:rsidRPr="009E5C97">
              <w:rPr>
                <w:bCs/>
              </w:rPr>
              <w:t>Jesús Guillermo Sotelo Asef</w:t>
            </w:r>
          </w:p>
        </w:tc>
      </w:tr>
      <w:tr w:rsidR="009E5C97" w:rsidRPr="009E5C97" w14:paraId="2079689F" w14:textId="77777777" w:rsidTr="009E5C97">
        <w:trPr>
          <w:jc w:val="center"/>
        </w:trPr>
        <w:tc>
          <w:tcPr>
            <w:tcW w:w="3045" w:type="dxa"/>
            <w:shd w:val="clear" w:color="auto" w:fill="auto"/>
            <w:tcMar>
              <w:top w:w="100" w:type="dxa"/>
              <w:left w:w="100" w:type="dxa"/>
              <w:bottom w:w="100" w:type="dxa"/>
              <w:right w:w="100" w:type="dxa"/>
            </w:tcMar>
          </w:tcPr>
          <w:p w14:paraId="11F48DC7" w14:textId="77777777" w:rsidR="009E5C97" w:rsidRPr="009E5C97" w:rsidRDefault="009E5C97" w:rsidP="00BA03E1">
            <w:pPr>
              <w:widowControl w:val="0"/>
              <w:rPr>
                <w:bCs/>
              </w:rPr>
            </w:pPr>
            <w:r w:rsidRPr="009E5C97">
              <w:rPr>
                <w:bCs/>
              </w:rPr>
              <w:t>Administración de Proyectos</w:t>
            </w:r>
          </w:p>
        </w:tc>
        <w:tc>
          <w:tcPr>
            <w:tcW w:w="6315" w:type="dxa"/>
            <w:shd w:val="clear" w:color="auto" w:fill="auto"/>
            <w:tcMar>
              <w:top w:w="100" w:type="dxa"/>
              <w:left w:w="100" w:type="dxa"/>
              <w:bottom w:w="100" w:type="dxa"/>
              <w:right w:w="100" w:type="dxa"/>
            </w:tcMar>
          </w:tcPr>
          <w:p w14:paraId="6DEFB82C" w14:textId="77777777" w:rsidR="009E5C97" w:rsidRPr="009E5C97" w:rsidRDefault="009E5C97" w:rsidP="00BA03E1">
            <w:pPr>
              <w:widowControl w:val="0"/>
              <w:rPr>
                <w:bCs/>
              </w:rPr>
            </w:pPr>
            <w:r w:rsidRPr="009E5C97">
              <w:rPr>
                <w:bCs/>
              </w:rPr>
              <w:t>Jesús Guillermo Sotelo Asef</w:t>
            </w:r>
          </w:p>
        </w:tc>
      </w:tr>
      <w:tr w:rsidR="009E5C97" w:rsidRPr="009E5C97" w14:paraId="1F331BFE" w14:textId="77777777" w:rsidTr="009E5C97">
        <w:trPr>
          <w:jc w:val="center"/>
        </w:trPr>
        <w:tc>
          <w:tcPr>
            <w:tcW w:w="3045" w:type="dxa"/>
            <w:shd w:val="clear" w:color="auto" w:fill="auto"/>
            <w:tcMar>
              <w:top w:w="100" w:type="dxa"/>
              <w:left w:w="100" w:type="dxa"/>
              <w:bottom w:w="100" w:type="dxa"/>
              <w:right w:w="100" w:type="dxa"/>
            </w:tcMar>
          </w:tcPr>
          <w:p w14:paraId="6CAF6052" w14:textId="77777777" w:rsidR="009E5C97" w:rsidRPr="009E5C97" w:rsidRDefault="009E5C97" w:rsidP="00BA03E1">
            <w:pPr>
              <w:widowControl w:val="0"/>
              <w:rPr>
                <w:bCs/>
              </w:rPr>
            </w:pPr>
            <w:r w:rsidRPr="009E5C97">
              <w:rPr>
                <w:bCs/>
              </w:rPr>
              <w:t>Adquisición de fondos</w:t>
            </w:r>
          </w:p>
        </w:tc>
        <w:tc>
          <w:tcPr>
            <w:tcW w:w="6315" w:type="dxa"/>
            <w:shd w:val="clear" w:color="auto" w:fill="auto"/>
            <w:tcMar>
              <w:top w:w="100" w:type="dxa"/>
              <w:left w:w="100" w:type="dxa"/>
              <w:bottom w:w="100" w:type="dxa"/>
              <w:right w:w="100" w:type="dxa"/>
            </w:tcMar>
          </w:tcPr>
          <w:p w14:paraId="1F0F0B59" w14:textId="77777777" w:rsidR="009E5C97" w:rsidRPr="009E5C97" w:rsidRDefault="009E5C97" w:rsidP="00BA03E1">
            <w:pPr>
              <w:widowControl w:val="0"/>
              <w:rPr>
                <w:bCs/>
              </w:rPr>
            </w:pPr>
            <w:r w:rsidRPr="009E5C97">
              <w:rPr>
                <w:bCs/>
              </w:rPr>
              <w:t>Jesús Guillermo Sotelo Asef igual Sergio Ivan López Domínguez igual Manuela Vargas Hernández</w:t>
            </w:r>
          </w:p>
        </w:tc>
      </w:tr>
    </w:tbl>
    <w:p w14:paraId="268B81B5" w14:textId="77777777" w:rsidR="009E5C97" w:rsidRPr="007478FD" w:rsidRDefault="009E5C97" w:rsidP="002F576D">
      <w:pPr>
        <w:spacing w:line="360" w:lineRule="auto"/>
        <w:ind w:left="708" w:hanging="708"/>
        <w:jc w:val="both"/>
        <w:rPr>
          <w:rStyle w:val="Hipervnculo"/>
          <w:color w:val="auto"/>
          <w:u w:val="none"/>
        </w:rPr>
      </w:pPr>
    </w:p>
    <w:p w14:paraId="7F082A94" w14:textId="77777777" w:rsidR="0093280A" w:rsidRDefault="0093280A" w:rsidP="00ED4C83">
      <w:pPr>
        <w:spacing w:before="160" w:after="160" w:line="360" w:lineRule="auto"/>
        <w:jc w:val="center"/>
        <w:rPr>
          <w:rStyle w:val="Hipervnculo"/>
          <w:b/>
          <w:color w:val="auto"/>
          <w:u w:val="none"/>
        </w:rPr>
      </w:pPr>
    </w:p>
    <w:p w14:paraId="25A97DAB" w14:textId="77777777" w:rsidR="009E5C97" w:rsidRDefault="009E5C97" w:rsidP="00ED4C83">
      <w:pPr>
        <w:spacing w:before="160" w:after="160" w:line="360" w:lineRule="auto"/>
        <w:jc w:val="center"/>
        <w:rPr>
          <w:rStyle w:val="Hipervnculo"/>
          <w:b/>
          <w:color w:val="auto"/>
          <w:u w:val="none"/>
        </w:rPr>
      </w:pPr>
    </w:p>
    <w:p w14:paraId="228C7F6A" w14:textId="77777777" w:rsidR="009E5C97" w:rsidRDefault="009E5C97" w:rsidP="00ED4C83">
      <w:pPr>
        <w:spacing w:before="160" w:after="160" w:line="360" w:lineRule="auto"/>
        <w:jc w:val="center"/>
        <w:rPr>
          <w:rStyle w:val="Hipervnculo"/>
          <w:b/>
          <w:color w:val="auto"/>
          <w:u w:val="none"/>
        </w:rPr>
      </w:pPr>
    </w:p>
    <w:p w14:paraId="51128732" w14:textId="77777777" w:rsidR="009E5C97" w:rsidRDefault="009E5C97" w:rsidP="00ED4C83">
      <w:pPr>
        <w:spacing w:before="160" w:after="160" w:line="360" w:lineRule="auto"/>
        <w:jc w:val="center"/>
        <w:rPr>
          <w:rStyle w:val="Hipervnculo"/>
          <w:b/>
          <w:color w:val="auto"/>
          <w:u w:val="none"/>
        </w:rPr>
      </w:pPr>
    </w:p>
    <w:p w14:paraId="0424E001" w14:textId="7B5B7799" w:rsidR="00107FBA" w:rsidRPr="002F576D" w:rsidRDefault="000B1D65" w:rsidP="00ED4C83">
      <w:pPr>
        <w:spacing w:before="160" w:after="160" w:line="360" w:lineRule="auto"/>
        <w:jc w:val="center"/>
        <w:rPr>
          <w:rStyle w:val="Hipervnculo"/>
          <w:b/>
          <w:color w:val="auto"/>
          <w:sz w:val="28"/>
          <w:szCs w:val="28"/>
          <w:u w:val="none"/>
        </w:rPr>
      </w:pPr>
      <w:r w:rsidRPr="002F576D">
        <w:rPr>
          <w:rStyle w:val="Hipervnculo"/>
          <w:b/>
          <w:color w:val="auto"/>
          <w:sz w:val="28"/>
          <w:szCs w:val="28"/>
          <w:u w:val="none"/>
        </w:rPr>
        <w:lastRenderedPageBreak/>
        <w:t>Anexo 1. Instrumento de medición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6"/>
        <w:gridCol w:w="7634"/>
        <w:gridCol w:w="312"/>
        <w:gridCol w:w="284"/>
        <w:gridCol w:w="306"/>
        <w:gridCol w:w="220"/>
        <w:gridCol w:w="222"/>
      </w:tblGrid>
      <w:tr w:rsidR="000B1D65" w:rsidRPr="002F576D" w14:paraId="72BD8F20" w14:textId="77777777" w:rsidTr="002F576D">
        <w:trPr>
          <w:trHeight w:val="600"/>
        </w:trPr>
        <w:tc>
          <w:tcPr>
            <w:tcW w:w="5000" w:type="pct"/>
            <w:gridSpan w:val="7"/>
            <w:vMerge w:val="restart"/>
            <w:shd w:val="clear" w:color="auto" w:fill="auto"/>
            <w:vAlign w:val="bottom"/>
            <w:hideMark/>
          </w:tcPr>
          <w:p w14:paraId="15B242E9" w14:textId="4920A690" w:rsidR="000B1D65" w:rsidRPr="002F576D" w:rsidRDefault="000B1D65" w:rsidP="000B1D65">
            <w:pPr>
              <w:rPr>
                <w:rFonts w:eastAsia="Times New Roman"/>
                <w:color w:val="000000"/>
                <w:lang w:eastAsia="es-MX"/>
              </w:rPr>
            </w:pPr>
            <w:bookmarkStart w:id="2" w:name="RANGE!A1:G37"/>
            <w:r w:rsidRPr="002F576D">
              <w:rPr>
                <w:rFonts w:eastAsia="Times New Roman"/>
                <w:color w:val="000000"/>
                <w:lang w:eastAsia="es-MX"/>
              </w:rPr>
              <w:t xml:space="preserve">Este formulario tiene el objetivo de obtener información que apoye en la </w:t>
            </w:r>
            <w:r w:rsidR="00C71D00" w:rsidRPr="002F576D">
              <w:rPr>
                <w:rFonts w:eastAsia="Times New Roman"/>
                <w:color w:val="000000"/>
                <w:lang w:eastAsia="es-MX"/>
              </w:rPr>
              <w:t xml:space="preserve">evaluación de la infraestructura de acuerdo </w:t>
            </w:r>
            <w:r w:rsidRPr="002F576D">
              <w:rPr>
                <w:rFonts w:eastAsia="Times New Roman"/>
                <w:color w:val="000000"/>
                <w:lang w:eastAsia="es-MX"/>
              </w:rPr>
              <w:t>con el punto 7.1.3 de la norma ISO 9001:2015.</w:t>
            </w:r>
            <w:r w:rsidRPr="002F576D">
              <w:rPr>
                <w:rFonts w:eastAsia="Times New Roman"/>
                <w:color w:val="000000"/>
                <w:lang w:eastAsia="es-MX"/>
              </w:rPr>
              <w:br/>
              <w:t>Se le solicita cordialmente dar su opinión sobre el grado de adecuación de los siguientes enunciados asignando un valor de 1 a 5, donde 1 es el valor mínimo en la escala (Muy en desacuerdo) y 5 es el valor máximo (Muy de acuerdo).</w:t>
            </w:r>
            <w:bookmarkEnd w:id="2"/>
          </w:p>
        </w:tc>
      </w:tr>
      <w:tr w:rsidR="000B1D65" w:rsidRPr="002F576D" w14:paraId="4F1F3D7C" w14:textId="77777777" w:rsidTr="002F576D">
        <w:trPr>
          <w:trHeight w:val="458"/>
        </w:trPr>
        <w:tc>
          <w:tcPr>
            <w:tcW w:w="5000" w:type="pct"/>
            <w:gridSpan w:val="7"/>
            <w:vMerge/>
            <w:vAlign w:val="center"/>
            <w:hideMark/>
          </w:tcPr>
          <w:p w14:paraId="6D28BE73" w14:textId="77777777" w:rsidR="000B1D65" w:rsidRPr="002F576D" w:rsidRDefault="000B1D65" w:rsidP="000B1D65">
            <w:pPr>
              <w:rPr>
                <w:rFonts w:eastAsia="Times New Roman"/>
                <w:color w:val="000000"/>
                <w:lang w:eastAsia="es-MX"/>
              </w:rPr>
            </w:pPr>
          </w:p>
        </w:tc>
      </w:tr>
      <w:tr w:rsidR="000B1D65" w:rsidRPr="002F576D" w14:paraId="06E4BF6D" w14:textId="77777777" w:rsidTr="002F576D">
        <w:trPr>
          <w:trHeight w:val="288"/>
        </w:trPr>
        <w:tc>
          <w:tcPr>
            <w:tcW w:w="222" w:type="pct"/>
            <w:vMerge w:val="restart"/>
            <w:shd w:val="clear" w:color="auto" w:fill="auto"/>
            <w:noWrap/>
            <w:vAlign w:val="center"/>
            <w:hideMark/>
          </w:tcPr>
          <w:p w14:paraId="7C8693B0"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xml:space="preserve">No. </w:t>
            </w:r>
          </w:p>
        </w:tc>
        <w:tc>
          <w:tcPr>
            <w:tcW w:w="4063" w:type="pct"/>
            <w:vMerge w:val="restart"/>
            <w:shd w:val="clear" w:color="auto" w:fill="auto"/>
            <w:vAlign w:val="center"/>
            <w:hideMark/>
          </w:tcPr>
          <w:p w14:paraId="51DCB861"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Ítem</w:t>
            </w:r>
          </w:p>
        </w:tc>
        <w:tc>
          <w:tcPr>
            <w:tcW w:w="715" w:type="pct"/>
            <w:gridSpan w:val="5"/>
            <w:shd w:val="clear" w:color="auto" w:fill="auto"/>
            <w:vAlign w:val="center"/>
            <w:hideMark/>
          </w:tcPr>
          <w:p w14:paraId="1B9A3B61"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Escala</w:t>
            </w:r>
          </w:p>
        </w:tc>
      </w:tr>
      <w:tr w:rsidR="000B1D65" w:rsidRPr="002F576D" w14:paraId="17CC3F59" w14:textId="77777777" w:rsidTr="002F576D">
        <w:trPr>
          <w:trHeight w:val="288"/>
        </w:trPr>
        <w:tc>
          <w:tcPr>
            <w:tcW w:w="222" w:type="pct"/>
            <w:vMerge/>
            <w:vAlign w:val="center"/>
            <w:hideMark/>
          </w:tcPr>
          <w:p w14:paraId="10905B25" w14:textId="77777777" w:rsidR="000B1D65" w:rsidRPr="002F576D" w:rsidRDefault="000B1D65" w:rsidP="000B1D65">
            <w:pPr>
              <w:rPr>
                <w:rFonts w:eastAsia="Times New Roman"/>
                <w:color w:val="000000"/>
                <w:lang w:eastAsia="es-MX"/>
              </w:rPr>
            </w:pPr>
          </w:p>
        </w:tc>
        <w:tc>
          <w:tcPr>
            <w:tcW w:w="4063" w:type="pct"/>
            <w:vMerge/>
            <w:vAlign w:val="center"/>
            <w:hideMark/>
          </w:tcPr>
          <w:p w14:paraId="0D0543CE" w14:textId="77777777" w:rsidR="000B1D65" w:rsidRPr="002F576D" w:rsidRDefault="000B1D65" w:rsidP="000B1D65">
            <w:pPr>
              <w:rPr>
                <w:rFonts w:eastAsia="Times New Roman"/>
                <w:color w:val="000000"/>
                <w:lang w:eastAsia="es-MX"/>
              </w:rPr>
            </w:pPr>
          </w:p>
        </w:tc>
        <w:tc>
          <w:tcPr>
            <w:tcW w:w="166" w:type="pct"/>
            <w:shd w:val="clear" w:color="auto" w:fill="auto"/>
            <w:vAlign w:val="bottom"/>
            <w:hideMark/>
          </w:tcPr>
          <w:p w14:paraId="1E06F381"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1</w:t>
            </w:r>
          </w:p>
        </w:tc>
        <w:tc>
          <w:tcPr>
            <w:tcW w:w="151" w:type="pct"/>
            <w:shd w:val="clear" w:color="auto" w:fill="auto"/>
            <w:vAlign w:val="bottom"/>
            <w:hideMark/>
          </w:tcPr>
          <w:p w14:paraId="0BB86226"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2</w:t>
            </w:r>
          </w:p>
        </w:tc>
        <w:tc>
          <w:tcPr>
            <w:tcW w:w="163" w:type="pct"/>
            <w:shd w:val="clear" w:color="auto" w:fill="auto"/>
            <w:vAlign w:val="bottom"/>
            <w:hideMark/>
          </w:tcPr>
          <w:p w14:paraId="3B9A0DD1"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3</w:t>
            </w:r>
          </w:p>
        </w:tc>
        <w:tc>
          <w:tcPr>
            <w:tcW w:w="117" w:type="pct"/>
            <w:shd w:val="clear" w:color="auto" w:fill="auto"/>
            <w:vAlign w:val="bottom"/>
            <w:hideMark/>
          </w:tcPr>
          <w:p w14:paraId="2010E5BE"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4</w:t>
            </w:r>
          </w:p>
        </w:tc>
        <w:tc>
          <w:tcPr>
            <w:tcW w:w="118" w:type="pct"/>
            <w:shd w:val="clear" w:color="auto" w:fill="auto"/>
            <w:vAlign w:val="bottom"/>
            <w:hideMark/>
          </w:tcPr>
          <w:p w14:paraId="434A6332"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5</w:t>
            </w:r>
          </w:p>
        </w:tc>
      </w:tr>
      <w:tr w:rsidR="000B1D65" w:rsidRPr="002F576D" w14:paraId="7AB2B04E" w14:textId="77777777" w:rsidTr="002F576D">
        <w:trPr>
          <w:trHeight w:val="264"/>
        </w:trPr>
        <w:tc>
          <w:tcPr>
            <w:tcW w:w="222" w:type="pct"/>
            <w:shd w:val="clear" w:color="auto" w:fill="auto"/>
            <w:noWrap/>
            <w:vAlign w:val="center"/>
            <w:hideMark/>
          </w:tcPr>
          <w:p w14:paraId="11A6E611"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1</w:t>
            </w:r>
          </w:p>
        </w:tc>
        <w:tc>
          <w:tcPr>
            <w:tcW w:w="4063" w:type="pct"/>
            <w:shd w:val="clear" w:color="auto" w:fill="auto"/>
            <w:vAlign w:val="bottom"/>
            <w:hideMark/>
          </w:tcPr>
          <w:p w14:paraId="4AD4DE83"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Considero que la organización cuenta con el espacio, físico y virtual adecuado, para compartir documentos</w:t>
            </w:r>
          </w:p>
        </w:tc>
        <w:tc>
          <w:tcPr>
            <w:tcW w:w="166" w:type="pct"/>
            <w:shd w:val="clear" w:color="auto" w:fill="auto"/>
            <w:hideMark/>
          </w:tcPr>
          <w:p w14:paraId="6369143D"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hideMark/>
          </w:tcPr>
          <w:p w14:paraId="513A6165"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hideMark/>
          </w:tcPr>
          <w:p w14:paraId="47B7357C"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hideMark/>
          </w:tcPr>
          <w:p w14:paraId="5A8BAF0F"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hideMark/>
          </w:tcPr>
          <w:p w14:paraId="3BC7CA8F"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741A88AE" w14:textId="77777777" w:rsidTr="002F576D">
        <w:trPr>
          <w:trHeight w:val="169"/>
        </w:trPr>
        <w:tc>
          <w:tcPr>
            <w:tcW w:w="222" w:type="pct"/>
            <w:shd w:val="clear" w:color="auto" w:fill="auto"/>
            <w:noWrap/>
            <w:vAlign w:val="center"/>
            <w:hideMark/>
          </w:tcPr>
          <w:p w14:paraId="342290CE"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2</w:t>
            </w:r>
          </w:p>
        </w:tc>
        <w:tc>
          <w:tcPr>
            <w:tcW w:w="4063" w:type="pct"/>
            <w:shd w:val="clear" w:color="auto" w:fill="auto"/>
            <w:vAlign w:val="bottom"/>
            <w:hideMark/>
          </w:tcPr>
          <w:p w14:paraId="2D19FB0A"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Considero que la organización cuenta con el espacio, físico y virtual adecuado, para compartir información relacionada a proyectos y demás tareas.</w:t>
            </w:r>
          </w:p>
        </w:tc>
        <w:tc>
          <w:tcPr>
            <w:tcW w:w="166" w:type="pct"/>
            <w:shd w:val="clear" w:color="auto" w:fill="auto"/>
            <w:hideMark/>
          </w:tcPr>
          <w:p w14:paraId="58C07E0E"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hideMark/>
          </w:tcPr>
          <w:p w14:paraId="6BB0CD9A"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hideMark/>
          </w:tcPr>
          <w:p w14:paraId="78CC8A13"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hideMark/>
          </w:tcPr>
          <w:p w14:paraId="59D9E1ED"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hideMark/>
          </w:tcPr>
          <w:p w14:paraId="16BD3803"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30F9A47A" w14:textId="77777777" w:rsidTr="002F576D">
        <w:trPr>
          <w:trHeight w:val="151"/>
        </w:trPr>
        <w:tc>
          <w:tcPr>
            <w:tcW w:w="222" w:type="pct"/>
            <w:shd w:val="clear" w:color="auto" w:fill="auto"/>
            <w:noWrap/>
            <w:vAlign w:val="center"/>
            <w:hideMark/>
          </w:tcPr>
          <w:p w14:paraId="38FA60E4"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3</w:t>
            </w:r>
          </w:p>
        </w:tc>
        <w:tc>
          <w:tcPr>
            <w:tcW w:w="4063" w:type="pct"/>
            <w:shd w:val="clear" w:color="auto" w:fill="auto"/>
            <w:vAlign w:val="bottom"/>
            <w:hideMark/>
          </w:tcPr>
          <w:p w14:paraId="7863D108"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 xml:space="preserve">Considero que la organización cuenta con el espacio, físico y virtual adecuado, para tratar temas de interés común. </w:t>
            </w:r>
          </w:p>
        </w:tc>
        <w:tc>
          <w:tcPr>
            <w:tcW w:w="166" w:type="pct"/>
            <w:shd w:val="clear" w:color="auto" w:fill="auto"/>
            <w:hideMark/>
          </w:tcPr>
          <w:p w14:paraId="285727AE"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hideMark/>
          </w:tcPr>
          <w:p w14:paraId="3299F6C8"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hideMark/>
          </w:tcPr>
          <w:p w14:paraId="579D35D0"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hideMark/>
          </w:tcPr>
          <w:p w14:paraId="452660A0"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hideMark/>
          </w:tcPr>
          <w:p w14:paraId="6C55C1D3"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5EA83CDB" w14:textId="77777777" w:rsidTr="002F576D">
        <w:trPr>
          <w:trHeight w:val="367"/>
        </w:trPr>
        <w:tc>
          <w:tcPr>
            <w:tcW w:w="222" w:type="pct"/>
            <w:shd w:val="clear" w:color="auto" w:fill="auto"/>
            <w:noWrap/>
            <w:vAlign w:val="center"/>
            <w:hideMark/>
          </w:tcPr>
          <w:p w14:paraId="7427BAA7"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4</w:t>
            </w:r>
          </w:p>
        </w:tc>
        <w:tc>
          <w:tcPr>
            <w:tcW w:w="4063" w:type="pct"/>
            <w:shd w:val="clear" w:color="auto" w:fill="auto"/>
            <w:vAlign w:val="bottom"/>
            <w:hideMark/>
          </w:tcPr>
          <w:p w14:paraId="33308CCF"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Considero que la organización brinda el servicio de internet adecuado para desempeñar las funciones e intercambiar información libremente.</w:t>
            </w:r>
          </w:p>
        </w:tc>
        <w:tc>
          <w:tcPr>
            <w:tcW w:w="166" w:type="pct"/>
            <w:shd w:val="clear" w:color="auto" w:fill="auto"/>
            <w:hideMark/>
          </w:tcPr>
          <w:p w14:paraId="6896A9A7"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hideMark/>
          </w:tcPr>
          <w:p w14:paraId="76F75E4E"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hideMark/>
          </w:tcPr>
          <w:p w14:paraId="0AE9D318"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hideMark/>
          </w:tcPr>
          <w:p w14:paraId="475403D4"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hideMark/>
          </w:tcPr>
          <w:p w14:paraId="7D23BA1F"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4BFDE272" w14:textId="77777777" w:rsidTr="002F576D">
        <w:trPr>
          <w:trHeight w:val="400"/>
        </w:trPr>
        <w:tc>
          <w:tcPr>
            <w:tcW w:w="222" w:type="pct"/>
            <w:shd w:val="clear" w:color="auto" w:fill="auto"/>
            <w:noWrap/>
            <w:vAlign w:val="center"/>
            <w:hideMark/>
          </w:tcPr>
          <w:p w14:paraId="773398AA"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5</w:t>
            </w:r>
          </w:p>
        </w:tc>
        <w:tc>
          <w:tcPr>
            <w:tcW w:w="4063" w:type="pct"/>
            <w:shd w:val="clear" w:color="auto" w:fill="auto"/>
            <w:vAlign w:val="bottom"/>
            <w:hideMark/>
          </w:tcPr>
          <w:p w14:paraId="11749C4F"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Considero que la organización proporciona una conexión de red adecuada, para conectar equipos de cómputo, permitiendo las comunicaciones electrónicas</w:t>
            </w:r>
          </w:p>
        </w:tc>
        <w:tc>
          <w:tcPr>
            <w:tcW w:w="166" w:type="pct"/>
            <w:shd w:val="clear" w:color="auto" w:fill="auto"/>
            <w:hideMark/>
          </w:tcPr>
          <w:p w14:paraId="419D4190"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hideMark/>
          </w:tcPr>
          <w:p w14:paraId="48E91A5D"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hideMark/>
          </w:tcPr>
          <w:p w14:paraId="31A52E96"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hideMark/>
          </w:tcPr>
          <w:p w14:paraId="28F9114D"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hideMark/>
          </w:tcPr>
          <w:p w14:paraId="76198485"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48D5E61E" w14:textId="77777777" w:rsidTr="002F576D">
        <w:trPr>
          <w:trHeight w:val="406"/>
        </w:trPr>
        <w:tc>
          <w:tcPr>
            <w:tcW w:w="222" w:type="pct"/>
            <w:shd w:val="clear" w:color="auto" w:fill="auto"/>
            <w:noWrap/>
            <w:vAlign w:val="center"/>
            <w:hideMark/>
          </w:tcPr>
          <w:p w14:paraId="65E4FA44"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6</w:t>
            </w:r>
          </w:p>
        </w:tc>
        <w:tc>
          <w:tcPr>
            <w:tcW w:w="4063" w:type="pct"/>
            <w:shd w:val="clear" w:color="auto" w:fill="auto"/>
            <w:vAlign w:val="bottom"/>
            <w:hideMark/>
          </w:tcPr>
          <w:p w14:paraId="1C61EE27"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Considero que la organización brinda seguridad en los sistemas informáticos y la protección de datos, para la disponibilidad de la información con el fin de que sea accesible y utilizable por una entidad o individuo autorizado</w:t>
            </w:r>
          </w:p>
        </w:tc>
        <w:tc>
          <w:tcPr>
            <w:tcW w:w="166" w:type="pct"/>
            <w:shd w:val="clear" w:color="auto" w:fill="auto"/>
            <w:hideMark/>
          </w:tcPr>
          <w:p w14:paraId="73FA13C6"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hideMark/>
          </w:tcPr>
          <w:p w14:paraId="5BD58951"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hideMark/>
          </w:tcPr>
          <w:p w14:paraId="2A01C1F7"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hideMark/>
          </w:tcPr>
          <w:p w14:paraId="207AFCE5"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hideMark/>
          </w:tcPr>
          <w:p w14:paraId="2944A0B4"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4ED46DE9" w14:textId="77777777" w:rsidTr="002F576D">
        <w:trPr>
          <w:trHeight w:val="413"/>
        </w:trPr>
        <w:tc>
          <w:tcPr>
            <w:tcW w:w="222" w:type="pct"/>
            <w:shd w:val="clear" w:color="auto" w:fill="auto"/>
            <w:noWrap/>
            <w:vAlign w:val="center"/>
            <w:hideMark/>
          </w:tcPr>
          <w:p w14:paraId="50E9E6BD"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7</w:t>
            </w:r>
          </w:p>
        </w:tc>
        <w:tc>
          <w:tcPr>
            <w:tcW w:w="4063" w:type="pct"/>
            <w:shd w:val="clear" w:color="auto" w:fill="auto"/>
            <w:vAlign w:val="bottom"/>
            <w:hideMark/>
          </w:tcPr>
          <w:p w14:paraId="3845B255"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Considero que la organización brinda seguridad en los sistemas informáticos y la protección de datos, para la privacidad de la información</w:t>
            </w:r>
          </w:p>
        </w:tc>
        <w:tc>
          <w:tcPr>
            <w:tcW w:w="166" w:type="pct"/>
            <w:shd w:val="clear" w:color="auto" w:fill="auto"/>
            <w:hideMark/>
          </w:tcPr>
          <w:p w14:paraId="64D74044"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hideMark/>
          </w:tcPr>
          <w:p w14:paraId="30C9654B"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hideMark/>
          </w:tcPr>
          <w:p w14:paraId="393FBA00"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hideMark/>
          </w:tcPr>
          <w:p w14:paraId="5CCF5DFA"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hideMark/>
          </w:tcPr>
          <w:p w14:paraId="1A5520B5"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35A048E3" w14:textId="77777777" w:rsidTr="002F576D">
        <w:trPr>
          <w:trHeight w:val="263"/>
        </w:trPr>
        <w:tc>
          <w:tcPr>
            <w:tcW w:w="222" w:type="pct"/>
            <w:shd w:val="clear" w:color="auto" w:fill="auto"/>
            <w:noWrap/>
            <w:vAlign w:val="center"/>
            <w:hideMark/>
          </w:tcPr>
          <w:p w14:paraId="4689594A"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8</w:t>
            </w:r>
          </w:p>
        </w:tc>
        <w:tc>
          <w:tcPr>
            <w:tcW w:w="4063" w:type="pct"/>
            <w:shd w:val="clear" w:color="auto" w:fill="auto"/>
            <w:vAlign w:val="bottom"/>
            <w:hideMark/>
          </w:tcPr>
          <w:p w14:paraId="1E3336F7"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Considero que la organización brinda seguridad en los sistemas informáticos y la protección de datos, para la integridad de salvaguardar la totalidad de los activos (tangibles e intangibles)</w:t>
            </w:r>
          </w:p>
        </w:tc>
        <w:tc>
          <w:tcPr>
            <w:tcW w:w="166" w:type="pct"/>
            <w:shd w:val="clear" w:color="auto" w:fill="auto"/>
            <w:hideMark/>
          </w:tcPr>
          <w:p w14:paraId="2DD0555C"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hideMark/>
          </w:tcPr>
          <w:p w14:paraId="2C6763AB"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hideMark/>
          </w:tcPr>
          <w:p w14:paraId="15676845"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hideMark/>
          </w:tcPr>
          <w:p w14:paraId="3B17EE0B"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hideMark/>
          </w:tcPr>
          <w:p w14:paraId="2013E0B5"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4867301A" w14:textId="77777777" w:rsidTr="002F576D">
        <w:trPr>
          <w:trHeight w:val="155"/>
        </w:trPr>
        <w:tc>
          <w:tcPr>
            <w:tcW w:w="222" w:type="pct"/>
            <w:shd w:val="clear" w:color="auto" w:fill="auto"/>
            <w:noWrap/>
            <w:vAlign w:val="center"/>
            <w:hideMark/>
          </w:tcPr>
          <w:p w14:paraId="6118EABB"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9</w:t>
            </w:r>
          </w:p>
        </w:tc>
        <w:tc>
          <w:tcPr>
            <w:tcW w:w="4063" w:type="pct"/>
            <w:shd w:val="clear" w:color="auto" w:fill="auto"/>
            <w:vAlign w:val="bottom"/>
            <w:hideMark/>
          </w:tcPr>
          <w:p w14:paraId="13F1DF9A"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Considero que la organización brinda telefonía por conmutador adecuada.</w:t>
            </w:r>
          </w:p>
        </w:tc>
        <w:tc>
          <w:tcPr>
            <w:tcW w:w="166" w:type="pct"/>
            <w:shd w:val="clear" w:color="auto" w:fill="auto"/>
            <w:hideMark/>
          </w:tcPr>
          <w:p w14:paraId="411BDE5A"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hideMark/>
          </w:tcPr>
          <w:p w14:paraId="652E0081"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hideMark/>
          </w:tcPr>
          <w:p w14:paraId="30D63E97"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hideMark/>
          </w:tcPr>
          <w:p w14:paraId="262BE5A6"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hideMark/>
          </w:tcPr>
          <w:p w14:paraId="7D15CD05"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29A006A1" w14:textId="77777777" w:rsidTr="002F576D">
        <w:trPr>
          <w:trHeight w:val="229"/>
        </w:trPr>
        <w:tc>
          <w:tcPr>
            <w:tcW w:w="222" w:type="pct"/>
            <w:shd w:val="clear" w:color="auto" w:fill="auto"/>
            <w:noWrap/>
            <w:vAlign w:val="center"/>
            <w:hideMark/>
          </w:tcPr>
          <w:p w14:paraId="39AD35E1"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10</w:t>
            </w:r>
          </w:p>
        </w:tc>
        <w:tc>
          <w:tcPr>
            <w:tcW w:w="4063" w:type="pct"/>
            <w:shd w:val="clear" w:color="auto" w:fill="auto"/>
            <w:vAlign w:val="bottom"/>
            <w:hideMark/>
          </w:tcPr>
          <w:p w14:paraId="44F8C9D0"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Considero que la organización proporciona un equipo de cómputo para escritorio adecuado.</w:t>
            </w:r>
          </w:p>
        </w:tc>
        <w:tc>
          <w:tcPr>
            <w:tcW w:w="166" w:type="pct"/>
            <w:shd w:val="clear" w:color="auto" w:fill="auto"/>
            <w:hideMark/>
          </w:tcPr>
          <w:p w14:paraId="1762F892"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hideMark/>
          </w:tcPr>
          <w:p w14:paraId="4AE6C1DE"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hideMark/>
          </w:tcPr>
          <w:p w14:paraId="11A850C5"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hideMark/>
          </w:tcPr>
          <w:p w14:paraId="012F575C"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hideMark/>
          </w:tcPr>
          <w:p w14:paraId="103703F8"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0A94D491" w14:textId="77777777" w:rsidTr="002F576D">
        <w:trPr>
          <w:trHeight w:val="275"/>
        </w:trPr>
        <w:tc>
          <w:tcPr>
            <w:tcW w:w="222" w:type="pct"/>
            <w:shd w:val="clear" w:color="auto" w:fill="auto"/>
            <w:noWrap/>
            <w:vAlign w:val="center"/>
            <w:hideMark/>
          </w:tcPr>
          <w:p w14:paraId="7B2B230B"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11</w:t>
            </w:r>
          </w:p>
        </w:tc>
        <w:tc>
          <w:tcPr>
            <w:tcW w:w="4063" w:type="pct"/>
            <w:shd w:val="clear" w:color="auto" w:fill="auto"/>
            <w:vAlign w:val="bottom"/>
            <w:hideMark/>
          </w:tcPr>
          <w:p w14:paraId="40EC494E"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Considero que la organización proporciona equipos multifuncionales (impresoras, escáner, etc.) adecuados</w:t>
            </w:r>
          </w:p>
        </w:tc>
        <w:tc>
          <w:tcPr>
            <w:tcW w:w="166" w:type="pct"/>
            <w:shd w:val="clear" w:color="auto" w:fill="auto"/>
            <w:hideMark/>
          </w:tcPr>
          <w:p w14:paraId="43C51193"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hideMark/>
          </w:tcPr>
          <w:p w14:paraId="7A3FFEE1"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hideMark/>
          </w:tcPr>
          <w:p w14:paraId="0421ECB6"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hideMark/>
          </w:tcPr>
          <w:p w14:paraId="2482B60B"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hideMark/>
          </w:tcPr>
          <w:p w14:paraId="458E991D"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4E132437" w14:textId="77777777" w:rsidTr="002F576D">
        <w:trPr>
          <w:trHeight w:val="393"/>
        </w:trPr>
        <w:tc>
          <w:tcPr>
            <w:tcW w:w="222" w:type="pct"/>
            <w:shd w:val="clear" w:color="auto" w:fill="auto"/>
            <w:noWrap/>
            <w:vAlign w:val="center"/>
            <w:hideMark/>
          </w:tcPr>
          <w:p w14:paraId="0AAB68CA"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12</w:t>
            </w:r>
          </w:p>
        </w:tc>
        <w:tc>
          <w:tcPr>
            <w:tcW w:w="4063" w:type="pct"/>
            <w:shd w:val="clear" w:color="auto" w:fill="auto"/>
            <w:vAlign w:val="bottom"/>
            <w:hideMark/>
          </w:tcPr>
          <w:p w14:paraId="6CDFC401"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Considero que la organización proporciona mobiliario de oficina ergonómicamente adecuado como: escritorios, sillas, mesas, libreros, entre otros</w:t>
            </w:r>
          </w:p>
        </w:tc>
        <w:tc>
          <w:tcPr>
            <w:tcW w:w="166" w:type="pct"/>
            <w:shd w:val="clear" w:color="auto" w:fill="auto"/>
            <w:hideMark/>
          </w:tcPr>
          <w:p w14:paraId="5F6F4429"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hideMark/>
          </w:tcPr>
          <w:p w14:paraId="4A96C504"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hideMark/>
          </w:tcPr>
          <w:p w14:paraId="1511086B"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hideMark/>
          </w:tcPr>
          <w:p w14:paraId="497C9BCE"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hideMark/>
          </w:tcPr>
          <w:p w14:paraId="4C720ABF"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1309DBD9" w14:textId="77777777" w:rsidTr="002F576D">
        <w:trPr>
          <w:trHeight w:val="412"/>
        </w:trPr>
        <w:tc>
          <w:tcPr>
            <w:tcW w:w="222" w:type="pct"/>
            <w:shd w:val="clear" w:color="auto" w:fill="auto"/>
            <w:noWrap/>
            <w:vAlign w:val="center"/>
            <w:hideMark/>
          </w:tcPr>
          <w:p w14:paraId="4F614239"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13</w:t>
            </w:r>
          </w:p>
        </w:tc>
        <w:tc>
          <w:tcPr>
            <w:tcW w:w="4063" w:type="pct"/>
            <w:shd w:val="clear" w:color="auto" w:fill="auto"/>
            <w:vAlign w:val="bottom"/>
            <w:hideMark/>
          </w:tcPr>
          <w:p w14:paraId="6136624A"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Considero que la organización proporciona mobiliario de oficina en condiciones adecuadas como: escritorios, sillas, mesas, libreros, entre otros</w:t>
            </w:r>
          </w:p>
        </w:tc>
        <w:tc>
          <w:tcPr>
            <w:tcW w:w="166" w:type="pct"/>
            <w:shd w:val="clear" w:color="auto" w:fill="auto"/>
            <w:hideMark/>
          </w:tcPr>
          <w:p w14:paraId="7E65AC10"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hideMark/>
          </w:tcPr>
          <w:p w14:paraId="1D86D355"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hideMark/>
          </w:tcPr>
          <w:p w14:paraId="58661E8C"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hideMark/>
          </w:tcPr>
          <w:p w14:paraId="60AEC350"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hideMark/>
          </w:tcPr>
          <w:p w14:paraId="2B87C7D4"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5F1DC112" w14:textId="77777777" w:rsidTr="002F576D">
        <w:trPr>
          <w:trHeight w:val="405"/>
        </w:trPr>
        <w:tc>
          <w:tcPr>
            <w:tcW w:w="222" w:type="pct"/>
            <w:shd w:val="clear" w:color="auto" w:fill="auto"/>
            <w:noWrap/>
            <w:vAlign w:val="center"/>
            <w:hideMark/>
          </w:tcPr>
          <w:p w14:paraId="7C43C069"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14</w:t>
            </w:r>
          </w:p>
        </w:tc>
        <w:tc>
          <w:tcPr>
            <w:tcW w:w="4063" w:type="pct"/>
            <w:shd w:val="clear" w:color="auto" w:fill="auto"/>
            <w:vAlign w:val="bottom"/>
            <w:hideMark/>
          </w:tcPr>
          <w:p w14:paraId="4E397F45"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Considero que la organización brinda ventilación artificial (aire acondicionado o calefacción) para confort del trabajador.</w:t>
            </w:r>
          </w:p>
        </w:tc>
        <w:tc>
          <w:tcPr>
            <w:tcW w:w="166" w:type="pct"/>
            <w:shd w:val="clear" w:color="auto" w:fill="auto"/>
            <w:hideMark/>
          </w:tcPr>
          <w:p w14:paraId="0ED44F1D"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hideMark/>
          </w:tcPr>
          <w:p w14:paraId="01EBC53C"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hideMark/>
          </w:tcPr>
          <w:p w14:paraId="4CFA3D07"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hideMark/>
          </w:tcPr>
          <w:p w14:paraId="37041228"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hideMark/>
          </w:tcPr>
          <w:p w14:paraId="3239667E"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231C9315" w14:textId="77777777" w:rsidTr="002F576D">
        <w:trPr>
          <w:trHeight w:val="255"/>
        </w:trPr>
        <w:tc>
          <w:tcPr>
            <w:tcW w:w="222" w:type="pct"/>
            <w:shd w:val="clear" w:color="auto" w:fill="auto"/>
            <w:noWrap/>
            <w:vAlign w:val="center"/>
            <w:hideMark/>
          </w:tcPr>
          <w:p w14:paraId="1384AC74"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15</w:t>
            </w:r>
          </w:p>
        </w:tc>
        <w:tc>
          <w:tcPr>
            <w:tcW w:w="4063" w:type="pct"/>
            <w:shd w:val="clear" w:color="auto" w:fill="auto"/>
            <w:vAlign w:val="bottom"/>
            <w:hideMark/>
          </w:tcPr>
          <w:p w14:paraId="63D89A9B"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Considero que la organización brinda ventilación artificial (aire acondicionado o calefacción) como requerimiento para realizar mejor la actividad</w:t>
            </w:r>
          </w:p>
        </w:tc>
        <w:tc>
          <w:tcPr>
            <w:tcW w:w="166" w:type="pct"/>
            <w:shd w:val="clear" w:color="auto" w:fill="auto"/>
            <w:hideMark/>
          </w:tcPr>
          <w:p w14:paraId="07B01C8E"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hideMark/>
          </w:tcPr>
          <w:p w14:paraId="0A442AD0"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hideMark/>
          </w:tcPr>
          <w:p w14:paraId="742B1C04"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hideMark/>
          </w:tcPr>
          <w:p w14:paraId="34DEB6F8"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hideMark/>
          </w:tcPr>
          <w:p w14:paraId="5F1E2920"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5A8E9911" w14:textId="77777777" w:rsidTr="002F576D">
        <w:trPr>
          <w:trHeight w:val="303"/>
        </w:trPr>
        <w:tc>
          <w:tcPr>
            <w:tcW w:w="222" w:type="pct"/>
            <w:shd w:val="clear" w:color="auto" w:fill="auto"/>
            <w:noWrap/>
            <w:vAlign w:val="center"/>
            <w:hideMark/>
          </w:tcPr>
          <w:p w14:paraId="1A435A08"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16</w:t>
            </w:r>
          </w:p>
        </w:tc>
        <w:tc>
          <w:tcPr>
            <w:tcW w:w="4063" w:type="pct"/>
            <w:shd w:val="clear" w:color="auto" w:fill="auto"/>
            <w:vAlign w:val="bottom"/>
            <w:hideMark/>
          </w:tcPr>
          <w:p w14:paraId="24E1B0BC"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 xml:space="preserve">Considero que la organización proporciona servidores (conjunto de computadoras) adecuados para la ejecución de un </w:t>
            </w:r>
            <w:r w:rsidRPr="002F576D">
              <w:rPr>
                <w:rFonts w:eastAsia="Times New Roman"/>
                <w:i/>
                <w:iCs/>
                <w:color w:val="000000"/>
                <w:lang w:eastAsia="es-MX"/>
              </w:rPr>
              <w:t xml:space="preserve">software </w:t>
            </w:r>
            <w:r w:rsidRPr="002F576D">
              <w:rPr>
                <w:rFonts w:eastAsia="Times New Roman"/>
                <w:color w:val="000000"/>
                <w:lang w:eastAsia="es-MX"/>
              </w:rPr>
              <w:t>(conjunto de programas para realizar infinidad de tareas en una computadora.</w:t>
            </w:r>
          </w:p>
        </w:tc>
        <w:tc>
          <w:tcPr>
            <w:tcW w:w="166" w:type="pct"/>
            <w:shd w:val="clear" w:color="auto" w:fill="auto"/>
            <w:hideMark/>
          </w:tcPr>
          <w:p w14:paraId="0145EF3F"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hideMark/>
          </w:tcPr>
          <w:p w14:paraId="72F7FA48"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hideMark/>
          </w:tcPr>
          <w:p w14:paraId="2E49976A"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hideMark/>
          </w:tcPr>
          <w:p w14:paraId="58429B3E"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hideMark/>
          </w:tcPr>
          <w:p w14:paraId="0E4A7C48"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37E2EDCF" w14:textId="77777777" w:rsidTr="002F576D">
        <w:trPr>
          <w:trHeight w:val="336"/>
        </w:trPr>
        <w:tc>
          <w:tcPr>
            <w:tcW w:w="222" w:type="pct"/>
            <w:shd w:val="clear" w:color="auto" w:fill="auto"/>
            <w:noWrap/>
            <w:vAlign w:val="center"/>
            <w:hideMark/>
          </w:tcPr>
          <w:p w14:paraId="2B9302E2"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lastRenderedPageBreak/>
              <w:t>17</w:t>
            </w:r>
          </w:p>
        </w:tc>
        <w:tc>
          <w:tcPr>
            <w:tcW w:w="4063" w:type="pct"/>
            <w:shd w:val="clear" w:color="auto" w:fill="auto"/>
            <w:vAlign w:val="bottom"/>
            <w:hideMark/>
          </w:tcPr>
          <w:p w14:paraId="41E26C8C"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 xml:space="preserve">Considero que la organización proporciona los documentos asociados (información) y datos para que el </w:t>
            </w:r>
            <w:r w:rsidRPr="002F576D">
              <w:rPr>
                <w:rFonts w:eastAsia="Times New Roman"/>
                <w:i/>
                <w:iCs/>
                <w:color w:val="000000"/>
                <w:lang w:eastAsia="es-MX"/>
              </w:rPr>
              <w:t xml:space="preserve">software </w:t>
            </w:r>
            <w:r w:rsidRPr="002F576D">
              <w:rPr>
                <w:rFonts w:eastAsia="Times New Roman"/>
                <w:color w:val="000000"/>
                <w:lang w:eastAsia="es-MX"/>
              </w:rPr>
              <w:t>(conjunto de programas para realizar infinidad de tareas en una computadora) opere de manera correcta</w:t>
            </w:r>
          </w:p>
        </w:tc>
        <w:tc>
          <w:tcPr>
            <w:tcW w:w="166" w:type="pct"/>
            <w:shd w:val="clear" w:color="auto" w:fill="auto"/>
            <w:hideMark/>
          </w:tcPr>
          <w:p w14:paraId="266B0589"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hideMark/>
          </w:tcPr>
          <w:p w14:paraId="72C027F7"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hideMark/>
          </w:tcPr>
          <w:p w14:paraId="50CA2EB5"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hideMark/>
          </w:tcPr>
          <w:p w14:paraId="776EB8E2"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hideMark/>
          </w:tcPr>
          <w:p w14:paraId="6DB79BDA"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4C9F2D89" w14:textId="77777777" w:rsidTr="002F576D">
        <w:trPr>
          <w:trHeight w:val="229"/>
        </w:trPr>
        <w:tc>
          <w:tcPr>
            <w:tcW w:w="222" w:type="pct"/>
            <w:shd w:val="clear" w:color="auto" w:fill="auto"/>
            <w:noWrap/>
            <w:vAlign w:val="center"/>
            <w:hideMark/>
          </w:tcPr>
          <w:p w14:paraId="17CA0288"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18</w:t>
            </w:r>
          </w:p>
        </w:tc>
        <w:tc>
          <w:tcPr>
            <w:tcW w:w="4063" w:type="pct"/>
            <w:shd w:val="clear" w:color="auto" w:fill="auto"/>
            <w:vAlign w:val="bottom"/>
            <w:hideMark/>
          </w:tcPr>
          <w:p w14:paraId="3BCFD733"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Considero que la organización proporciona vehículos para transporte de personal</w:t>
            </w:r>
          </w:p>
        </w:tc>
        <w:tc>
          <w:tcPr>
            <w:tcW w:w="166" w:type="pct"/>
            <w:shd w:val="clear" w:color="auto" w:fill="auto"/>
            <w:hideMark/>
          </w:tcPr>
          <w:p w14:paraId="2F7F976B"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hideMark/>
          </w:tcPr>
          <w:p w14:paraId="4CE0C02F"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hideMark/>
          </w:tcPr>
          <w:p w14:paraId="65399C85"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hideMark/>
          </w:tcPr>
          <w:p w14:paraId="6E368529"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hideMark/>
          </w:tcPr>
          <w:p w14:paraId="3C9F76D9"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2BDFB996" w14:textId="77777777" w:rsidTr="002F576D">
        <w:trPr>
          <w:trHeight w:val="416"/>
        </w:trPr>
        <w:tc>
          <w:tcPr>
            <w:tcW w:w="222" w:type="pct"/>
            <w:shd w:val="clear" w:color="auto" w:fill="auto"/>
            <w:noWrap/>
            <w:vAlign w:val="center"/>
            <w:hideMark/>
          </w:tcPr>
          <w:p w14:paraId="11A2BE48"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19</w:t>
            </w:r>
          </w:p>
        </w:tc>
        <w:tc>
          <w:tcPr>
            <w:tcW w:w="4063" w:type="pct"/>
            <w:shd w:val="clear" w:color="auto" w:fill="auto"/>
            <w:vAlign w:val="bottom"/>
            <w:hideMark/>
          </w:tcPr>
          <w:p w14:paraId="2B6A9E02"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Considero que la organización proporciona dispositivos (USB, disco duro, entre otros) para envío y recepción de documentos en formato digital</w:t>
            </w:r>
          </w:p>
        </w:tc>
        <w:tc>
          <w:tcPr>
            <w:tcW w:w="166" w:type="pct"/>
            <w:shd w:val="clear" w:color="auto" w:fill="auto"/>
            <w:noWrap/>
            <w:hideMark/>
          </w:tcPr>
          <w:p w14:paraId="343C8200"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noWrap/>
            <w:hideMark/>
          </w:tcPr>
          <w:p w14:paraId="10541A96"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noWrap/>
            <w:hideMark/>
          </w:tcPr>
          <w:p w14:paraId="058CA524"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noWrap/>
            <w:hideMark/>
          </w:tcPr>
          <w:p w14:paraId="7FA815D7"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noWrap/>
            <w:hideMark/>
          </w:tcPr>
          <w:p w14:paraId="6E5AC90C"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009F7D9C" w14:textId="77777777" w:rsidTr="002F576D">
        <w:trPr>
          <w:trHeight w:val="536"/>
        </w:trPr>
        <w:tc>
          <w:tcPr>
            <w:tcW w:w="222" w:type="pct"/>
            <w:shd w:val="clear" w:color="auto" w:fill="auto"/>
            <w:noWrap/>
            <w:vAlign w:val="center"/>
            <w:hideMark/>
          </w:tcPr>
          <w:p w14:paraId="40DF7C72"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20</w:t>
            </w:r>
          </w:p>
        </w:tc>
        <w:tc>
          <w:tcPr>
            <w:tcW w:w="4063" w:type="pct"/>
            <w:shd w:val="clear" w:color="auto" w:fill="auto"/>
            <w:vAlign w:val="bottom"/>
            <w:hideMark/>
          </w:tcPr>
          <w:p w14:paraId="58B5E9CB"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Considero que la organización proporciona un servicio de almacenamiento en la nube (almacenamiento virtual, por ejemplo: Google Drive, Dropbox) para acopiar datos que se acceden por internet a través de un servicio web, mediante un navegador</w:t>
            </w:r>
          </w:p>
        </w:tc>
        <w:tc>
          <w:tcPr>
            <w:tcW w:w="166" w:type="pct"/>
            <w:shd w:val="clear" w:color="auto" w:fill="auto"/>
            <w:noWrap/>
            <w:hideMark/>
          </w:tcPr>
          <w:p w14:paraId="55D6FC6B"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noWrap/>
            <w:hideMark/>
          </w:tcPr>
          <w:p w14:paraId="339E6F63"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noWrap/>
            <w:hideMark/>
          </w:tcPr>
          <w:p w14:paraId="6023ECA0"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noWrap/>
            <w:hideMark/>
          </w:tcPr>
          <w:p w14:paraId="5D3990C9"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noWrap/>
            <w:hideMark/>
          </w:tcPr>
          <w:p w14:paraId="047466FC"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7182E2C0" w14:textId="77777777" w:rsidTr="002F576D">
        <w:trPr>
          <w:trHeight w:val="530"/>
        </w:trPr>
        <w:tc>
          <w:tcPr>
            <w:tcW w:w="222" w:type="pct"/>
            <w:shd w:val="clear" w:color="auto" w:fill="auto"/>
            <w:noWrap/>
            <w:vAlign w:val="center"/>
            <w:hideMark/>
          </w:tcPr>
          <w:p w14:paraId="01A275A9"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21</w:t>
            </w:r>
          </w:p>
        </w:tc>
        <w:tc>
          <w:tcPr>
            <w:tcW w:w="4063" w:type="pct"/>
            <w:shd w:val="clear" w:color="auto" w:fill="auto"/>
            <w:vAlign w:val="bottom"/>
            <w:hideMark/>
          </w:tcPr>
          <w:p w14:paraId="50887969"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Considero que la organización proporciona un correo electrónico (Hotmail, Yahoo, Gmail, Live e institucionales) para intercambio de ideas y documentos, así como del trabajo en equipo entre personas que se encuentran a pequeñas o grandes distancias</w:t>
            </w:r>
          </w:p>
        </w:tc>
        <w:tc>
          <w:tcPr>
            <w:tcW w:w="166" w:type="pct"/>
            <w:shd w:val="clear" w:color="auto" w:fill="auto"/>
            <w:noWrap/>
            <w:hideMark/>
          </w:tcPr>
          <w:p w14:paraId="1EA68C25"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noWrap/>
            <w:hideMark/>
          </w:tcPr>
          <w:p w14:paraId="765B2E3F"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noWrap/>
            <w:hideMark/>
          </w:tcPr>
          <w:p w14:paraId="230A19AE"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noWrap/>
            <w:hideMark/>
          </w:tcPr>
          <w:p w14:paraId="5587E62D"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noWrap/>
            <w:hideMark/>
          </w:tcPr>
          <w:p w14:paraId="59962E81"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1AC57317" w14:textId="77777777" w:rsidTr="002F576D">
        <w:trPr>
          <w:trHeight w:val="538"/>
        </w:trPr>
        <w:tc>
          <w:tcPr>
            <w:tcW w:w="222" w:type="pct"/>
            <w:shd w:val="clear" w:color="auto" w:fill="auto"/>
            <w:noWrap/>
            <w:vAlign w:val="center"/>
            <w:hideMark/>
          </w:tcPr>
          <w:p w14:paraId="4541E26D"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22</w:t>
            </w:r>
          </w:p>
        </w:tc>
        <w:tc>
          <w:tcPr>
            <w:tcW w:w="4063" w:type="pct"/>
            <w:shd w:val="clear" w:color="auto" w:fill="auto"/>
            <w:vAlign w:val="bottom"/>
            <w:hideMark/>
          </w:tcPr>
          <w:p w14:paraId="0B98410C"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Considero que la organización brinda la facilidad en el uso de mensajería instantánea (WhatsApp, Hangouts, Messenger, Snapchat, Telegram, Line, Skype, Vibre) para intercambio de ideas y documentos, así como del trabajo en equipo entre personas que se encuentran a pequeñas o grandes distancias</w:t>
            </w:r>
          </w:p>
        </w:tc>
        <w:tc>
          <w:tcPr>
            <w:tcW w:w="166" w:type="pct"/>
            <w:shd w:val="clear" w:color="auto" w:fill="auto"/>
            <w:noWrap/>
            <w:hideMark/>
          </w:tcPr>
          <w:p w14:paraId="6B042DD7"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noWrap/>
            <w:hideMark/>
          </w:tcPr>
          <w:p w14:paraId="1A5F920F"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noWrap/>
            <w:hideMark/>
          </w:tcPr>
          <w:p w14:paraId="5F731427"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noWrap/>
            <w:hideMark/>
          </w:tcPr>
          <w:p w14:paraId="5CD8F9AD"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noWrap/>
            <w:hideMark/>
          </w:tcPr>
          <w:p w14:paraId="0AEF5611"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4655CC1C" w14:textId="77777777" w:rsidTr="002F576D">
        <w:trPr>
          <w:trHeight w:val="518"/>
        </w:trPr>
        <w:tc>
          <w:tcPr>
            <w:tcW w:w="222" w:type="pct"/>
            <w:shd w:val="clear" w:color="auto" w:fill="auto"/>
            <w:noWrap/>
            <w:vAlign w:val="center"/>
            <w:hideMark/>
          </w:tcPr>
          <w:p w14:paraId="23DCF394"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23</w:t>
            </w:r>
          </w:p>
        </w:tc>
        <w:tc>
          <w:tcPr>
            <w:tcW w:w="4063" w:type="pct"/>
            <w:shd w:val="clear" w:color="auto" w:fill="auto"/>
            <w:vAlign w:val="bottom"/>
            <w:hideMark/>
          </w:tcPr>
          <w:p w14:paraId="6E792D69"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Considero que la organización brinda la facilidad en el uso de redes sociales (Facebook, Twitter, Instagram, Blog, Vine, Tumblr) para intercambio de ideas y documentos, así como del trabajo en equipo entre personas que se encuentran a pequeñas o grandes distancias</w:t>
            </w:r>
          </w:p>
        </w:tc>
        <w:tc>
          <w:tcPr>
            <w:tcW w:w="166" w:type="pct"/>
            <w:shd w:val="clear" w:color="auto" w:fill="auto"/>
            <w:noWrap/>
            <w:hideMark/>
          </w:tcPr>
          <w:p w14:paraId="39CFFB46"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noWrap/>
            <w:hideMark/>
          </w:tcPr>
          <w:p w14:paraId="7AE77615"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noWrap/>
            <w:hideMark/>
          </w:tcPr>
          <w:p w14:paraId="1CA9F2AD"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noWrap/>
            <w:hideMark/>
          </w:tcPr>
          <w:p w14:paraId="3ECF91D1"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noWrap/>
            <w:hideMark/>
          </w:tcPr>
          <w:p w14:paraId="3C19D6E4"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6666947E" w14:textId="77777777" w:rsidTr="002F576D">
        <w:trPr>
          <w:trHeight w:val="384"/>
        </w:trPr>
        <w:tc>
          <w:tcPr>
            <w:tcW w:w="222" w:type="pct"/>
            <w:shd w:val="clear" w:color="auto" w:fill="auto"/>
            <w:noWrap/>
            <w:vAlign w:val="center"/>
            <w:hideMark/>
          </w:tcPr>
          <w:p w14:paraId="64841B7F"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24</w:t>
            </w:r>
          </w:p>
        </w:tc>
        <w:tc>
          <w:tcPr>
            <w:tcW w:w="4063" w:type="pct"/>
            <w:shd w:val="clear" w:color="auto" w:fill="auto"/>
            <w:vAlign w:val="bottom"/>
            <w:hideMark/>
          </w:tcPr>
          <w:p w14:paraId="3B1FC25C"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 xml:space="preserve">Considero que la organización utiliza información documentada administrada por sistemas basados en </w:t>
            </w:r>
            <w:r w:rsidRPr="002F576D">
              <w:rPr>
                <w:rFonts w:eastAsia="Times New Roman"/>
                <w:i/>
                <w:iCs/>
                <w:color w:val="000000"/>
                <w:lang w:eastAsia="es-MX"/>
              </w:rPr>
              <w:t xml:space="preserve">software </w:t>
            </w:r>
            <w:r w:rsidRPr="002F576D">
              <w:rPr>
                <w:rFonts w:eastAsia="Times New Roman"/>
                <w:color w:val="000000"/>
                <w:lang w:eastAsia="es-MX"/>
              </w:rPr>
              <w:t>(conjunto de programas para realizar infinidad de tareas en una computadora</w:t>
            </w:r>
          </w:p>
        </w:tc>
        <w:tc>
          <w:tcPr>
            <w:tcW w:w="166" w:type="pct"/>
            <w:shd w:val="clear" w:color="auto" w:fill="auto"/>
            <w:noWrap/>
            <w:hideMark/>
          </w:tcPr>
          <w:p w14:paraId="4C701A7D"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noWrap/>
            <w:hideMark/>
          </w:tcPr>
          <w:p w14:paraId="03B509CD"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noWrap/>
            <w:hideMark/>
          </w:tcPr>
          <w:p w14:paraId="5345AF86"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noWrap/>
            <w:hideMark/>
          </w:tcPr>
          <w:p w14:paraId="336B8E68"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noWrap/>
            <w:hideMark/>
          </w:tcPr>
          <w:p w14:paraId="404306BF"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5396EED1" w14:textId="77777777" w:rsidTr="002F576D">
        <w:trPr>
          <w:trHeight w:val="263"/>
        </w:trPr>
        <w:tc>
          <w:tcPr>
            <w:tcW w:w="222" w:type="pct"/>
            <w:shd w:val="clear" w:color="auto" w:fill="auto"/>
            <w:noWrap/>
            <w:vAlign w:val="center"/>
            <w:hideMark/>
          </w:tcPr>
          <w:p w14:paraId="085B8E14"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25</w:t>
            </w:r>
          </w:p>
        </w:tc>
        <w:tc>
          <w:tcPr>
            <w:tcW w:w="4063" w:type="pct"/>
            <w:shd w:val="clear" w:color="auto" w:fill="auto"/>
            <w:vAlign w:val="bottom"/>
            <w:hideMark/>
          </w:tcPr>
          <w:p w14:paraId="3B6642BF"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Considero que la organización proporciona herramientas para controlar cambios en la información</w:t>
            </w:r>
          </w:p>
        </w:tc>
        <w:tc>
          <w:tcPr>
            <w:tcW w:w="166" w:type="pct"/>
            <w:shd w:val="clear" w:color="auto" w:fill="auto"/>
            <w:noWrap/>
            <w:hideMark/>
          </w:tcPr>
          <w:p w14:paraId="5D1B7D0A"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noWrap/>
            <w:hideMark/>
          </w:tcPr>
          <w:p w14:paraId="0298D8CE"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noWrap/>
            <w:hideMark/>
          </w:tcPr>
          <w:p w14:paraId="3CC20717"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noWrap/>
            <w:hideMark/>
          </w:tcPr>
          <w:p w14:paraId="7A96D64B"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noWrap/>
            <w:hideMark/>
          </w:tcPr>
          <w:p w14:paraId="07A80365"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1903D3E5" w14:textId="77777777" w:rsidTr="002F576D">
        <w:trPr>
          <w:trHeight w:val="320"/>
        </w:trPr>
        <w:tc>
          <w:tcPr>
            <w:tcW w:w="222" w:type="pct"/>
            <w:shd w:val="clear" w:color="auto" w:fill="auto"/>
            <w:noWrap/>
            <w:vAlign w:val="center"/>
            <w:hideMark/>
          </w:tcPr>
          <w:p w14:paraId="60549972"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26</w:t>
            </w:r>
          </w:p>
        </w:tc>
        <w:tc>
          <w:tcPr>
            <w:tcW w:w="4063" w:type="pct"/>
            <w:shd w:val="clear" w:color="auto" w:fill="auto"/>
            <w:vAlign w:val="bottom"/>
            <w:hideMark/>
          </w:tcPr>
          <w:p w14:paraId="288F9C3B"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Considero que la organización proporciona programas para procesar información contable</w:t>
            </w:r>
          </w:p>
        </w:tc>
        <w:tc>
          <w:tcPr>
            <w:tcW w:w="166" w:type="pct"/>
            <w:shd w:val="clear" w:color="auto" w:fill="auto"/>
            <w:noWrap/>
            <w:hideMark/>
          </w:tcPr>
          <w:p w14:paraId="286959E7"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noWrap/>
            <w:hideMark/>
          </w:tcPr>
          <w:p w14:paraId="6CAABDEB"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noWrap/>
            <w:hideMark/>
          </w:tcPr>
          <w:p w14:paraId="6D44D9C1"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noWrap/>
            <w:hideMark/>
          </w:tcPr>
          <w:p w14:paraId="0562A4D9"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noWrap/>
            <w:hideMark/>
          </w:tcPr>
          <w:p w14:paraId="345AC351"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74880D5E" w14:textId="77777777" w:rsidTr="002F576D">
        <w:trPr>
          <w:trHeight w:val="220"/>
        </w:trPr>
        <w:tc>
          <w:tcPr>
            <w:tcW w:w="222" w:type="pct"/>
            <w:shd w:val="clear" w:color="auto" w:fill="auto"/>
            <w:noWrap/>
            <w:vAlign w:val="center"/>
            <w:hideMark/>
          </w:tcPr>
          <w:p w14:paraId="42E4A706"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27</w:t>
            </w:r>
          </w:p>
        </w:tc>
        <w:tc>
          <w:tcPr>
            <w:tcW w:w="4063" w:type="pct"/>
            <w:shd w:val="clear" w:color="auto" w:fill="auto"/>
            <w:vAlign w:val="bottom"/>
            <w:hideMark/>
          </w:tcPr>
          <w:p w14:paraId="58E858CF"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Considero que la organización proporciona programas para procesar información administrativa</w:t>
            </w:r>
          </w:p>
        </w:tc>
        <w:tc>
          <w:tcPr>
            <w:tcW w:w="166" w:type="pct"/>
            <w:shd w:val="clear" w:color="auto" w:fill="auto"/>
            <w:noWrap/>
            <w:hideMark/>
          </w:tcPr>
          <w:p w14:paraId="64A3EFEA"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noWrap/>
            <w:hideMark/>
          </w:tcPr>
          <w:p w14:paraId="0037C15F"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noWrap/>
            <w:hideMark/>
          </w:tcPr>
          <w:p w14:paraId="7602196C"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noWrap/>
            <w:hideMark/>
          </w:tcPr>
          <w:p w14:paraId="4996421D"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noWrap/>
            <w:hideMark/>
          </w:tcPr>
          <w:p w14:paraId="247340C2"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1AB08986" w14:textId="77777777" w:rsidTr="002F576D">
        <w:trPr>
          <w:trHeight w:val="31"/>
        </w:trPr>
        <w:tc>
          <w:tcPr>
            <w:tcW w:w="222" w:type="pct"/>
            <w:shd w:val="clear" w:color="auto" w:fill="auto"/>
            <w:noWrap/>
            <w:vAlign w:val="center"/>
            <w:hideMark/>
          </w:tcPr>
          <w:p w14:paraId="2275C683"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28</w:t>
            </w:r>
          </w:p>
        </w:tc>
        <w:tc>
          <w:tcPr>
            <w:tcW w:w="4063" w:type="pct"/>
            <w:shd w:val="clear" w:color="auto" w:fill="auto"/>
            <w:vAlign w:val="bottom"/>
            <w:hideMark/>
          </w:tcPr>
          <w:p w14:paraId="1B4D50B5"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 xml:space="preserve">Considero que la organización brinda herramientas para que se digitalice información de distinto tipo (sonidos, texto, imágenes, animaciones) y se transmita por los mismos medios </w:t>
            </w:r>
          </w:p>
        </w:tc>
        <w:tc>
          <w:tcPr>
            <w:tcW w:w="166" w:type="pct"/>
            <w:shd w:val="clear" w:color="auto" w:fill="auto"/>
            <w:noWrap/>
            <w:hideMark/>
          </w:tcPr>
          <w:p w14:paraId="001DDD51"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noWrap/>
            <w:hideMark/>
          </w:tcPr>
          <w:p w14:paraId="14C00A53"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noWrap/>
            <w:hideMark/>
          </w:tcPr>
          <w:p w14:paraId="2658D7D7"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noWrap/>
            <w:hideMark/>
          </w:tcPr>
          <w:p w14:paraId="395D121A"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noWrap/>
            <w:hideMark/>
          </w:tcPr>
          <w:p w14:paraId="428C47F0"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46B0CC38" w14:textId="77777777" w:rsidTr="002F576D">
        <w:trPr>
          <w:trHeight w:val="462"/>
        </w:trPr>
        <w:tc>
          <w:tcPr>
            <w:tcW w:w="222" w:type="pct"/>
            <w:shd w:val="clear" w:color="auto" w:fill="auto"/>
            <w:noWrap/>
            <w:vAlign w:val="center"/>
            <w:hideMark/>
          </w:tcPr>
          <w:p w14:paraId="01988A2A"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29</w:t>
            </w:r>
          </w:p>
        </w:tc>
        <w:tc>
          <w:tcPr>
            <w:tcW w:w="4063" w:type="pct"/>
            <w:shd w:val="clear" w:color="auto" w:fill="auto"/>
            <w:vAlign w:val="bottom"/>
            <w:hideMark/>
          </w:tcPr>
          <w:p w14:paraId="53F90E60"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Considero que la organización proporciona un sistema de telecomunicaciones que combina capacidades de video y llamada telefónica con transmisión de datos o documentos (videoconferencia) cuando es necesario</w:t>
            </w:r>
          </w:p>
        </w:tc>
        <w:tc>
          <w:tcPr>
            <w:tcW w:w="166" w:type="pct"/>
            <w:shd w:val="clear" w:color="auto" w:fill="auto"/>
            <w:noWrap/>
            <w:hideMark/>
          </w:tcPr>
          <w:p w14:paraId="14A95DA8"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51" w:type="pct"/>
            <w:shd w:val="clear" w:color="auto" w:fill="auto"/>
            <w:noWrap/>
            <w:hideMark/>
          </w:tcPr>
          <w:p w14:paraId="407AC0BC"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63" w:type="pct"/>
            <w:shd w:val="clear" w:color="auto" w:fill="auto"/>
            <w:noWrap/>
            <w:hideMark/>
          </w:tcPr>
          <w:p w14:paraId="4040C9CF"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7" w:type="pct"/>
            <w:shd w:val="clear" w:color="auto" w:fill="auto"/>
            <w:noWrap/>
            <w:hideMark/>
          </w:tcPr>
          <w:p w14:paraId="108AD80E"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c>
          <w:tcPr>
            <w:tcW w:w="118" w:type="pct"/>
            <w:shd w:val="clear" w:color="auto" w:fill="auto"/>
            <w:noWrap/>
            <w:hideMark/>
          </w:tcPr>
          <w:p w14:paraId="398F39FF" w14:textId="77777777" w:rsidR="000B1D65" w:rsidRPr="002F576D" w:rsidRDefault="000B1D65" w:rsidP="000B1D65">
            <w:pPr>
              <w:jc w:val="center"/>
              <w:rPr>
                <w:rFonts w:eastAsia="Times New Roman"/>
                <w:color w:val="000000"/>
                <w:lang w:eastAsia="es-MX"/>
              </w:rPr>
            </w:pPr>
            <w:r w:rsidRPr="002F576D">
              <w:rPr>
                <w:rFonts w:eastAsia="Times New Roman"/>
                <w:color w:val="000000"/>
                <w:lang w:eastAsia="es-MX"/>
              </w:rPr>
              <w:t> </w:t>
            </w:r>
          </w:p>
        </w:tc>
      </w:tr>
      <w:tr w:rsidR="000B1D65" w:rsidRPr="002F576D" w14:paraId="5531E5D2" w14:textId="77777777" w:rsidTr="002F576D">
        <w:trPr>
          <w:trHeight w:val="458"/>
        </w:trPr>
        <w:tc>
          <w:tcPr>
            <w:tcW w:w="5000" w:type="pct"/>
            <w:gridSpan w:val="7"/>
            <w:vMerge w:val="restart"/>
            <w:shd w:val="clear" w:color="auto" w:fill="auto"/>
            <w:noWrap/>
            <w:hideMark/>
          </w:tcPr>
          <w:p w14:paraId="07975F5B" w14:textId="77777777" w:rsidR="000B1D65" w:rsidRPr="002F576D" w:rsidRDefault="000B1D65" w:rsidP="000B1D65">
            <w:pPr>
              <w:rPr>
                <w:rFonts w:eastAsia="Times New Roman"/>
                <w:color w:val="000000"/>
                <w:lang w:eastAsia="es-MX"/>
              </w:rPr>
            </w:pPr>
            <w:r w:rsidRPr="002F576D">
              <w:rPr>
                <w:rFonts w:eastAsia="Times New Roman"/>
                <w:color w:val="000000"/>
                <w:lang w:eastAsia="es-MX"/>
              </w:rPr>
              <w:t>Observaciones:</w:t>
            </w:r>
          </w:p>
        </w:tc>
      </w:tr>
      <w:tr w:rsidR="000B1D65" w:rsidRPr="002F576D" w14:paraId="26E55483" w14:textId="77777777" w:rsidTr="002F576D">
        <w:trPr>
          <w:trHeight w:val="458"/>
        </w:trPr>
        <w:tc>
          <w:tcPr>
            <w:tcW w:w="5000" w:type="pct"/>
            <w:gridSpan w:val="7"/>
            <w:vMerge/>
            <w:vAlign w:val="center"/>
            <w:hideMark/>
          </w:tcPr>
          <w:p w14:paraId="764A993B" w14:textId="77777777" w:rsidR="000B1D65" w:rsidRPr="002F576D" w:rsidRDefault="000B1D65" w:rsidP="000B1D65">
            <w:pPr>
              <w:rPr>
                <w:rFonts w:eastAsia="Times New Roman"/>
                <w:color w:val="000000"/>
                <w:lang w:eastAsia="es-MX"/>
              </w:rPr>
            </w:pPr>
          </w:p>
        </w:tc>
      </w:tr>
      <w:tr w:rsidR="000B1D65" w:rsidRPr="002F576D" w14:paraId="4939DEEE" w14:textId="77777777" w:rsidTr="002F576D">
        <w:trPr>
          <w:trHeight w:val="458"/>
        </w:trPr>
        <w:tc>
          <w:tcPr>
            <w:tcW w:w="5000" w:type="pct"/>
            <w:gridSpan w:val="7"/>
            <w:vMerge/>
            <w:vAlign w:val="center"/>
            <w:hideMark/>
          </w:tcPr>
          <w:p w14:paraId="46E7E49B" w14:textId="77777777" w:rsidR="000B1D65" w:rsidRPr="002F576D" w:rsidRDefault="000B1D65" w:rsidP="000B1D65">
            <w:pPr>
              <w:rPr>
                <w:rFonts w:eastAsia="Times New Roman"/>
                <w:color w:val="000000"/>
                <w:lang w:eastAsia="es-MX"/>
              </w:rPr>
            </w:pPr>
          </w:p>
        </w:tc>
      </w:tr>
      <w:tr w:rsidR="000B1D65" w:rsidRPr="002F576D" w14:paraId="0B350029" w14:textId="77777777" w:rsidTr="002F576D">
        <w:trPr>
          <w:trHeight w:val="458"/>
        </w:trPr>
        <w:tc>
          <w:tcPr>
            <w:tcW w:w="5000" w:type="pct"/>
            <w:gridSpan w:val="7"/>
            <w:vMerge/>
            <w:vAlign w:val="center"/>
            <w:hideMark/>
          </w:tcPr>
          <w:p w14:paraId="4C2A3B62" w14:textId="77777777" w:rsidR="000B1D65" w:rsidRPr="002F576D" w:rsidRDefault="000B1D65" w:rsidP="000B1D65">
            <w:pPr>
              <w:rPr>
                <w:rFonts w:eastAsia="Times New Roman"/>
                <w:color w:val="000000"/>
                <w:lang w:eastAsia="es-MX"/>
              </w:rPr>
            </w:pPr>
          </w:p>
        </w:tc>
      </w:tr>
    </w:tbl>
    <w:p w14:paraId="0B53EB68" w14:textId="77777777" w:rsidR="000B1D65" w:rsidRPr="00FC5684" w:rsidRDefault="00327032" w:rsidP="00C71D00">
      <w:pPr>
        <w:spacing w:before="160" w:line="360" w:lineRule="auto"/>
        <w:jc w:val="center"/>
      </w:pPr>
      <w:r w:rsidRPr="004B4CF7">
        <w:t>Fuente: E</w:t>
      </w:r>
      <w:r w:rsidR="00107FBA" w:rsidRPr="004B4CF7">
        <w:t>laboración propia</w:t>
      </w:r>
    </w:p>
    <w:p w14:paraId="2D7AA556" w14:textId="77777777" w:rsidR="00A770C7" w:rsidRDefault="00A770C7"/>
    <w:sectPr w:rsidR="00A770C7" w:rsidSect="00FC0766">
      <w:headerReference w:type="default" r:id="rId80"/>
      <w:footerReference w:type="default" r:id="rId81"/>
      <w:pgSz w:w="12240" w:h="15840"/>
      <w:pgMar w:top="1134" w:right="1418" w:bottom="709"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D5368" w14:textId="77777777" w:rsidR="00FC0766" w:rsidRDefault="00FC0766" w:rsidP="001720E3">
      <w:r>
        <w:separator/>
      </w:r>
    </w:p>
  </w:endnote>
  <w:endnote w:type="continuationSeparator" w:id="0">
    <w:p w14:paraId="0057BBA3" w14:textId="77777777" w:rsidR="00FC0766" w:rsidRDefault="00FC0766" w:rsidP="0017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Museo Slab 100">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92CAC" w14:textId="42ACA3F9" w:rsidR="001720E3" w:rsidRDefault="001720E3">
    <w:pPr>
      <w:pStyle w:val="Piedepgina"/>
    </w:pPr>
    <w:r>
      <w:t xml:space="preserve">                   </w:t>
    </w:r>
    <w:r w:rsidRPr="002A3D98">
      <w:rPr>
        <w:noProof/>
        <w:lang w:eastAsia="es-MX"/>
      </w:rPr>
      <w:drawing>
        <wp:inline distT="0" distB="0" distL="0" distR="0" wp14:anchorId="3A37E307" wp14:editId="0D0D4DCD">
          <wp:extent cx="1600200" cy="419100"/>
          <wp:effectExtent l="0" t="0" r="0" b="0"/>
          <wp:docPr id="528690269" name="Imagen 52869026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720E3">
      <w:rPr>
        <w:rFonts w:cstheme="minorHAnsi"/>
        <w:b/>
        <w:sz w:val="22"/>
        <w:szCs w:val="12"/>
      </w:rPr>
      <w:t>Vol. 14, Núm. 28 Enero – Junio 2024, e</w:t>
    </w:r>
    <w:r w:rsidR="004E1440">
      <w:rPr>
        <w:rFonts w:cstheme="minorHAnsi"/>
        <w:b/>
        <w:sz w:val="22"/>
        <w:szCs w:val="12"/>
      </w:rPr>
      <w:t>623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30400" w14:textId="77777777" w:rsidR="00FC0766" w:rsidRDefault="00FC0766" w:rsidP="001720E3">
      <w:r>
        <w:separator/>
      </w:r>
    </w:p>
  </w:footnote>
  <w:footnote w:type="continuationSeparator" w:id="0">
    <w:p w14:paraId="550AFFE1" w14:textId="77777777" w:rsidR="00FC0766" w:rsidRDefault="00FC0766" w:rsidP="00172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7FA4" w14:textId="7D762669" w:rsidR="001720E3" w:rsidRDefault="001720E3" w:rsidP="001720E3">
    <w:pPr>
      <w:pStyle w:val="Encabezado"/>
      <w:jc w:val="center"/>
    </w:pPr>
    <w:r w:rsidRPr="002A3D98">
      <w:rPr>
        <w:noProof/>
        <w:lang w:eastAsia="es-MX"/>
      </w:rPr>
      <w:drawing>
        <wp:inline distT="0" distB="0" distL="0" distR="0" wp14:anchorId="38AC8F4B" wp14:editId="4F02018B">
          <wp:extent cx="5397500" cy="635000"/>
          <wp:effectExtent l="0" t="0" r="0" b="0"/>
          <wp:docPr id="62542162" name="Imagen 6254216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5790D"/>
    <w:multiLevelType w:val="hybridMultilevel"/>
    <w:tmpl w:val="50F66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8F28B3"/>
    <w:multiLevelType w:val="hybridMultilevel"/>
    <w:tmpl w:val="BE86AC08"/>
    <w:lvl w:ilvl="0" w:tplc="2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EE4A21"/>
    <w:multiLevelType w:val="hybridMultilevel"/>
    <w:tmpl w:val="238C0396"/>
    <w:lvl w:ilvl="0" w:tplc="C96A7BE2">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4A3D5DC0"/>
    <w:multiLevelType w:val="hybridMultilevel"/>
    <w:tmpl w:val="B4BE71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851591D"/>
    <w:multiLevelType w:val="hybridMultilevel"/>
    <w:tmpl w:val="05D28B1E"/>
    <w:lvl w:ilvl="0" w:tplc="200A000F">
      <w:start w:val="1"/>
      <w:numFmt w:val="decimal"/>
      <w:lvlText w:val="%1."/>
      <w:lvlJc w:val="left"/>
      <w:pPr>
        <w:ind w:left="1068" w:hanging="360"/>
      </w:pPr>
      <w:rPr>
        <w:rFonts w:hint="default"/>
      </w:rPr>
    </w:lvl>
    <w:lvl w:ilvl="1" w:tplc="200A0019" w:tentative="1">
      <w:start w:val="1"/>
      <w:numFmt w:val="lowerLetter"/>
      <w:lvlText w:val="%2."/>
      <w:lvlJc w:val="left"/>
      <w:pPr>
        <w:ind w:left="1788" w:hanging="360"/>
      </w:pPr>
    </w:lvl>
    <w:lvl w:ilvl="2" w:tplc="200A001B" w:tentative="1">
      <w:start w:val="1"/>
      <w:numFmt w:val="lowerRoman"/>
      <w:lvlText w:val="%3."/>
      <w:lvlJc w:val="right"/>
      <w:pPr>
        <w:ind w:left="2508" w:hanging="180"/>
      </w:pPr>
    </w:lvl>
    <w:lvl w:ilvl="3" w:tplc="200A000F" w:tentative="1">
      <w:start w:val="1"/>
      <w:numFmt w:val="decimal"/>
      <w:lvlText w:val="%4."/>
      <w:lvlJc w:val="left"/>
      <w:pPr>
        <w:ind w:left="3228" w:hanging="360"/>
      </w:pPr>
    </w:lvl>
    <w:lvl w:ilvl="4" w:tplc="200A0019" w:tentative="1">
      <w:start w:val="1"/>
      <w:numFmt w:val="lowerLetter"/>
      <w:lvlText w:val="%5."/>
      <w:lvlJc w:val="left"/>
      <w:pPr>
        <w:ind w:left="3948" w:hanging="360"/>
      </w:pPr>
    </w:lvl>
    <w:lvl w:ilvl="5" w:tplc="200A001B" w:tentative="1">
      <w:start w:val="1"/>
      <w:numFmt w:val="lowerRoman"/>
      <w:lvlText w:val="%6."/>
      <w:lvlJc w:val="right"/>
      <w:pPr>
        <w:ind w:left="4668" w:hanging="180"/>
      </w:pPr>
    </w:lvl>
    <w:lvl w:ilvl="6" w:tplc="200A000F" w:tentative="1">
      <w:start w:val="1"/>
      <w:numFmt w:val="decimal"/>
      <w:lvlText w:val="%7."/>
      <w:lvlJc w:val="left"/>
      <w:pPr>
        <w:ind w:left="5388" w:hanging="360"/>
      </w:pPr>
    </w:lvl>
    <w:lvl w:ilvl="7" w:tplc="200A0019" w:tentative="1">
      <w:start w:val="1"/>
      <w:numFmt w:val="lowerLetter"/>
      <w:lvlText w:val="%8."/>
      <w:lvlJc w:val="left"/>
      <w:pPr>
        <w:ind w:left="6108" w:hanging="360"/>
      </w:pPr>
    </w:lvl>
    <w:lvl w:ilvl="8" w:tplc="200A001B" w:tentative="1">
      <w:start w:val="1"/>
      <w:numFmt w:val="lowerRoman"/>
      <w:lvlText w:val="%9."/>
      <w:lvlJc w:val="right"/>
      <w:pPr>
        <w:ind w:left="6828" w:hanging="180"/>
      </w:pPr>
    </w:lvl>
  </w:abstractNum>
  <w:abstractNum w:abstractNumId="5" w15:restartNumberingAfterBreak="0">
    <w:nsid w:val="590C5B89"/>
    <w:multiLevelType w:val="hybridMultilevel"/>
    <w:tmpl w:val="4172262A"/>
    <w:lvl w:ilvl="0" w:tplc="1FB49652">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A164D42"/>
    <w:multiLevelType w:val="hybridMultilevel"/>
    <w:tmpl w:val="3D3A597A"/>
    <w:lvl w:ilvl="0" w:tplc="13B43FE8">
      <w:start w:val="2"/>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C9C05FD"/>
    <w:multiLevelType w:val="hybridMultilevel"/>
    <w:tmpl w:val="C6F677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629235514">
    <w:abstractNumId w:val="2"/>
  </w:num>
  <w:num w:numId="2" w16cid:durableId="827943563">
    <w:abstractNumId w:val="5"/>
  </w:num>
  <w:num w:numId="3" w16cid:durableId="1131170553">
    <w:abstractNumId w:val="7"/>
  </w:num>
  <w:num w:numId="4" w16cid:durableId="1999193040">
    <w:abstractNumId w:val="6"/>
  </w:num>
  <w:num w:numId="5" w16cid:durableId="333531160">
    <w:abstractNumId w:val="0"/>
  </w:num>
  <w:num w:numId="6" w16cid:durableId="920257237">
    <w:abstractNumId w:val="3"/>
  </w:num>
  <w:num w:numId="7" w16cid:durableId="1120418874">
    <w:abstractNumId w:val="4"/>
  </w:num>
  <w:num w:numId="8" w16cid:durableId="98003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C12"/>
    <w:rsid w:val="00001C24"/>
    <w:rsid w:val="000069B8"/>
    <w:rsid w:val="00007E15"/>
    <w:rsid w:val="00012E83"/>
    <w:rsid w:val="0001401A"/>
    <w:rsid w:val="00022B21"/>
    <w:rsid w:val="0002420C"/>
    <w:rsid w:val="000363FC"/>
    <w:rsid w:val="0004059A"/>
    <w:rsid w:val="00044EE5"/>
    <w:rsid w:val="00045A5B"/>
    <w:rsid w:val="00047A26"/>
    <w:rsid w:val="000555C1"/>
    <w:rsid w:val="00066E12"/>
    <w:rsid w:val="00071A9B"/>
    <w:rsid w:val="00075755"/>
    <w:rsid w:val="0008694B"/>
    <w:rsid w:val="00094A9C"/>
    <w:rsid w:val="000A1641"/>
    <w:rsid w:val="000A39D2"/>
    <w:rsid w:val="000A4422"/>
    <w:rsid w:val="000A4BFA"/>
    <w:rsid w:val="000B1D65"/>
    <w:rsid w:val="000C7882"/>
    <w:rsid w:val="000D1AEA"/>
    <w:rsid w:val="000D3E79"/>
    <w:rsid w:val="000E4691"/>
    <w:rsid w:val="000E60FD"/>
    <w:rsid w:val="000F39CE"/>
    <w:rsid w:val="0010047E"/>
    <w:rsid w:val="00107FBA"/>
    <w:rsid w:val="001111EA"/>
    <w:rsid w:val="00121586"/>
    <w:rsid w:val="00122F48"/>
    <w:rsid w:val="00124D81"/>
    <w:rsid w:val="001407F5"/>
    <w:rsid w:val="00140C26"/>
    <w:rsid w:val="0014386B"/>
    <w:rsid w:val="00146231"/>
    <w:rsid w:val="0015316E"/>
    <w:rsid w:val="00166AFF"/>
    <w:rsid w:val="00171E77"/>
    <w:rsid w:val="001720E3"/>
    <w:rsid w:val="001820E6"/>
    <w:rsid w:val="00183911"/>
    <w:rsid w:val="00184F0B"/>
    <w:rsid w:val="00185A02"/>
    <w:rsid w:val="00192F28"/>
    <w:rsid w:val="001A03CF"/>
    <w:rsid w:val="001A1F46"/>
    <w:rsid w:val="001B381F"/>
    <w:rsid w:val="001B3899"/>
    <w:rsid w:val="001C062F"/>
    <w:rsid w:val="001C21B1"/>
    <w:rsid w:val="001C4355"/>
    <w:rsid w:val="001C5AEE"/>
    <w:rsid w:val="001D0010"/>
    <w:rsid w:val="001D0AB0"/>
    <w:rsid w:val="001D6523"/>
    <w:rsid w:val="001D7661"/>
    <w:rsid w:val="001E7898"/>
    <w:rsid w:val="00200EE6"/>
    <w:rsid w:val="00207C35"/>
    <w:rsid w:val="00212EC4"/>
    <w:rsid w:val="00214973"/>
    <w:rsid w:val="00216350"/>
    <w:rsid w:val="00217753"/>
    <w:rsid w:val="00221601"/>
    <w:rsid w:val="00222246"/>
    <w:rsid w:val="002352D2"/>
    <w:rsid w:val="00237116"/>
    <w:rsid w:val="00237A7B"/>
    <w:rsid w:val="002416C9"/>
    <w:rsid w:val="002521B6"/>
    <w:rsid w:val="00260758"/>
    <w:rsid w:val="00264893"/>
    <w:rsid w:val="00274073"/>
    <w:rsid w:val="002910E9"/>
    <w:rsid w:val="00291B8A"/>
    <w:rsid w:val="0029347C"/>
    <w:rsid w:val="002A0F7A"/>
    <w:rsid w:val="002A2FFF"/>
    <w:rsid w:val="002A739C"/>
    <w:rsid w:val="002B4C97"/>
    <w:rsid w:val="002C3307"/>
    <w:rsid w:val="002C6B44"/>
    <w:rsid w:val="002D704E"/>
    <w:rsid w:val="002D7365"/>
    <w:rsid w:val="002F2B11"/>
    <w:rsid w:val="002F576D"/>
    <w:rsid w:val="003127C1"/>
    <w:rsid w:val="00313D3D"/>
    <w:rsid w:val="00314382"/>
    <w:rsid w:val="00322231"/>
    <w:rsid w:val="00323076"/>
    <w:rsid w:val="00326BF8"/>
    <w:rsid w:val="00327032"/>
    <w:rsid w:val="003414C5"/>
    <w:rsid w:val="00344F98"/>
    <w:rsid w:val="00345EAB"/>
    <w:rsid w:val="0034677E"/>
    <w:rsid w:val="00355917"/>
    <w:rsid w:val="003614D7"/>
    <w:rsid w:val="0036292C"/>
    <w:rsid w:val="00367B87"/>
    <w:rsid w:val="0037214A"/>
    <w:rsid w:val="00373092"/>
    <w:rsid w:val="0039417B"/>
    <w:rsid w:val="00394C4E"/>
    <w:rsid w:val="003A316D"/>
    <w:rsid w:val="003A75FC"/>
    <w:rsid w:val="003B12F0"/>
    <w:rsid w:val="003B2A7D"/>
    <w:rsid w:val="003B63B7"/>
    <w:rsid w:val="003C23B2"/>
    <w:rsid w:val="003D0CAA"/>
    <w:rsid w:val="003E01E3"/>
    <w:rsid w:val="003E2438"/>
    <w:rsid w:val="003E4B83"/>
    <w:rsid w:val="003F4807"/>
    <w:rsid w:val="00405D60"/>
    <w:rsid w:val="004262A7"/>
    <w:rsid w:val="00446AB6"/>
    <w:rsid w:val="0044728F"/>
    <w:rsid w:val="0044743F"/>
    <w:rsid w:val="00450727"/>
    <w:rsid w:val="004526CF"/>
    <w:rsid w:val="00457961"/>
    <w:rsid w:val="00467FCC"/>
    <w:rsid w:val="00471D39"/>
    <w:rsid w:val="004735D1"/>
    <w:rsid w:val="0048489C"/>
    <w:rsid w:val="0048772D"/>
    <w:rsid w:val="0049342D"/>
    <w:rsid w:val="00494D09"/>
    <w:rsid w:val="004B095B"/>
    <w:rsid w:val="004B2D23"/>
    <w:rsid w:val="004B355F"/>
    <w:rsid w:val="004B36FD"/>
    <w:rsid w:val="004B4CF7"/>
    <w:rsid w:val="004D0584"/>
    <w:rsid w:val="004E1440"/>
    <w:rsid w:val="004E4BEC"/>
    <w:rsid w:val="004F6FD7"/>
    <w:rsid w:val="0050536D"/>
    <w:rsid w:val="00511E75"/>
    <w:rsid w:val="005233F4"/>
    <w:rsid w:val="00526EAD"/>
    <w:rsid w:val="00542985"/>
    <w:rsid w:val="00544502"/>
    <w:rsid w:val="00544EFF"/>
    <w:rsid w:val="00546693"/>
    <w:rsid w:val="00550F74"/>
    <w:rsid w:val="00554FB4"/>
    <w:rsid w:val="00556F06"/>
    <w:rsid w:val="005606A7"/>
    <w:rsid w:val="00567B91"/>
    <w:rsid w:val="0057772E"/>
    <w:rsid w:val="005A01AB"/>
    <w:rsid w:val="005B0C78"/>
    <w:rsid w:val="005B7979"/>
    <w:rsid w:val="005C0C2C"/>
    <w:rsid w:val="005C3770"/>
    <w:rsid w:val="005D32E7"/>
    <w:rsid w:val="005D3A81"/>
    <w:rsid w:val="005E4212"/>
    <w:rsid w:val="005E7CAF"/>
    <w:rsid w:val="006004BB"/>
    <w:rsid w:val="006139D2"/>
    <w:rsid w:val="006232A0"/>
    <w:rsid w:val="00652BF4"/>
    <w:rsid w:val="006618DC"/>
    <w:rsid w:val="00680B0F"/>
    <w:rsid w:val="006851E4"/>
    <w:rsid w:val="006853C8"/>
    <w:rsid w:val="00690316"/>
    <w:rsid w:val="006A65AE"/>
    <w:rsid w:val="006B75CC"/>
    <w:rsid w:val="006C0752"/>
    <w:rsid w:val="006C32D4"/>
    <w:rsid w:val="006C7274"/>
    <w:rsid w:val="006C7751"/>
    <w:rsid w:val="006E19DA"/>
    <w:rsid w:val="006F309B"/>
    <w:rsid w:val="007031EB"/>
    <w:rsid w:val="0071027E"/>
    <w:rsid w:val="00713C46"/>
    <w:rsid w:val="00717F08"/>
    <w:rsid w:val="007254EE"/>
    <w:rsid w:val="00735517"/>
    <w:rsid w:val="007377C2"/>
    <w:rsid w:val="00743615"/>
    <w:rsid w:val="0074459D"/>
    <w:rsid w:val="00752F32"/>
    <w:rsid w:val="00754994"/>
    <w:rsid w:val="00756E2C"/>
    <w:rsid w:val="00760599"/>
    <w:rsid w:val="007617AC"/>
    <w:rsid w:val="00773991"/>
    <w:rsid w:val="0078022A"/>
    <w:rsid w:val="00785827"/>
    <w:rsid w:val="007951C5"/>
    <w:rsid w:val="007957A4"/>
    <w:rsid w:val="007A25D8"/>
    <w:rsid w:val="007B1C95"/>
    <w:rsid w:val="007B1D20"/>
    <w:rsid w:val="007C2A62"/>
    <w:rsid w:val="007C2C7B"/>
    <w:rsid w:val="007D076A"/>
    <w:rsid w:val="007D4310"/>
    <w:rsid w:val="007D4A9C"/>
    <w:rsid w:val="007D7BD0"/>
    <w:rsid w:val="007E6DF3"/>
    <w:rsid w:val="007E7F85"/>
    <w:rsid w:val="007F6892"/>
    <w:rsid w:val="00806812"/>
    <w:rsid w:val="008104CA"/>
    <w:rsid w:val="00813584"/>
    <w:rsid w:val="00814B0A"/>
    <w:rsid w:val="00817F35"/>
    <w:rsid w:val="0082372D"/>
    <w:rsid w:val="00832D0E"/>
    <w:rsid w:val="008342C5"/>
    <w:rsid w:val="00856E97"/>
    <w:rsid w:val="0086428F"/>
    <w:rsid w:val="00880C82"/>
    <w:rsid w:val="00885B47"/>
    <w:rsid w:val="00891716"/>
    <w:rsid w:val="00892E50"/>
    <w:rsid w:val="00893980"/>
    <w:rsid w:val="00893D90"/>
    <w:rsid w:val="0089633D"/>
    <w:rsid w:val="008970EE"/>
    <w:rsid w:val="008A49A5"/>
    <w:rsid w:val="008A607C"/>
    <w:rsid w:val="008B2864"/>
    <w:rsid w:val="008E409B"/>
    <w:rsid w:val="008E56AC"/>
    <w:rsid w:val="008F70B6"/>
    <w:rsid w:val="00900A54"/>
    <w:rsid w:val="00910CFD"/>
    <w:rsid w:val="00912A5D"/>
    <w:rsid w:val="0093280A"/>
    <w:rsid w:val="00933CA9"/>
    <w:rsid w:val="009346B9"/>
    <w:rsid w:val="00936697"/>
    <w:rsid w:val="009378D9"/>
    <w:rsid w:val="00966E12"/>
    <w:rsid w:val="00967847"/>
    <w:rsid w:val="00971C27"/>
    <w:rsid w:val="00977AA9"/>
    <w:rsid w:val="00982C12"/>
    <w:rsid w:val="00983984"/>
    <w:rsid w:val="00985321"/>
    <w:rsid w:val="009853E4"/>
    <w:rsid w:val="009864EF"/>
    <w:rsid w:val="00986AC1"/>
    <w:rsid w:val="00995247"/>
    <w:rsid w:val="00996563"/>
    <w:rsid w:val="009A2586"/>
    <w:rsid w:val="009A2F50"/>
    <w:rsid w:val="009A41E8"/>
    <w:rsid w:val="009B4036"/>
    <w:rsid w:val="009B49A4"/>
    <w:rsid w:val="009C136C"/>
    <w:rsid w:val="009D6BCF"/>
    <w:rsid w:val="009E0FD9"/>
    <w:rsid w:val="009E5C0A"/>
    <w:rsid w:val="009E5C97"/>
    <w:rsid w:val="009E627F"/>
    <w:rsid w:val="009E6CCE"/>
    <w:rsid w:val="009F087A"/>
    <w:rsid w:val="009F2A7D"/>
    <w:rsid w:val="009F7BE7"/>
    <w:rsid w:val="00A03125"/>
    <w:rsid w:val="00A0415E"/>
    <w:rsid w:val="00A04EFB"/>
    <w:rsid w:val="00A10DA4"/>
    <w:rsid w:val="00A36295"/>
    <w:rsid w:val="00A3688E"/>
    <w:rsid w:val="00A40A4B"/>
    <w:rsid w:val="00A4618E"/>
    <w:rsid w:val="00A5042A"/>
    <w:rsid w:val="00A519EF"/>
    <w:rsid w:val="00A5457A"/>
    <w:rsid w:val="00A54CBA"/>
    <w:rsid w:val="00A5599A"/>
    <w:rsid w:val="00A70B83"/>
    <w:rsid w:val="00A770C7"/>
    <w:rsid w:val="00A8019A"/>
    <w:rsid w:val="00A80BB4"/>
    <w:rsid w:val="00A813CC"/>
    <w:rsid w:val="00A84460"/>
    <w:rsid w:val="00A97209"/>
    <w:rsid w:val="00AA51FA"/>
    <w:rsid w:val="00AA74DB"/>
    <w:rsid w:val="00AB1760"/>
    <w:rsid w:val="00AB44C4"/>
    <w:rsid w:val="00AB4E0C"/>
    <w:rsid w:val="00AC3704"/>
    <w:rsid w:val="00AC565D"/>
    <w:rsid w:val="00AC6E41"/>
    <w:rsid w:val="00AD00F7"/>
    <w:rsid w:val="00AD431F"/>
    <w:rsid w:val="00AD4580"/>
    <w:rsid w:val="00AE2F38"/>
    <w:rsid w:val="00AE76CF"/>
    <w:rsid w:val="00AF4635"/>
    <w:rsid w:val="00B23144"/>
    <w:rsid w:val="00B25CF7"/>
    <w:rsid w:val="00B31604"/>
    <w:rsid w:val="00B4288D"/>
    <w:rsid w:val="00B67D69"/>
    <w:rsid w:val="00B706CA"/>
    <w:rsid w:val="00B7202B"/>
    <w:rsid w:val="00B73EA3"/>
    <w:rsid w:val="00B92829"/>
    <w:rsid w:val="00B937A9"/>
    <w:rsid w:val="00B93BE8"/>
    <w:rsid w:val="00B942F8"/>
    <w:rsid w:val="00BB3EE4"/>
    <w:rsid w:val="00BB4B2C"/>
    <w:rsid w:val="00BB683B"/>
    <w:rsid w:val="00BC60A1"/>
    <w:rsid w:val="00BD39C0"/>
    <w:rsid w:val="00BD6CE9"/>
    <w:rsid w:val="00BD7156"/>
    <w:rsid w:val="00BF042F"/>
    <w:rsid w:val="00BF08F2"/>
    <w:rsid w:val="00BF1F88"/>
    <w:rsid w:val="00BF2517"/>
    <w:rsid w:val="00BF274A"/>
    <w:rsid w:val="00BF35C6"/>
    <w:rsid w:val="00BF368F"/>
    <w:rsid w:val="00BF4376"/>
    <w:rsid w:val="00C1225A"/>
    <w:rsid w:val="00C16AC3"/>
    <w:rsid w:val="00C17FB1"/>
    <w:rsid w:val="00C235C5"/>
    <w:rsid w:val="00C254D2"/>
    <w:rsid w:val="00C4082C"/>
    <w:rsid w:val="00C436A8"/>
    <w:rsid w:val="00C5196F"/>
    <w:rsid w:val="00C57450"/>
    <w:rsid w:val="00C67BC8"/>
    <w:rsid w:val="00C71D00"/>
    <w:rsid w:val="00C838DB"/>
    <w:rsid w:val="00C96098"/>
    <w:rsid w:val="00CA1236"/>
    <w:rsid w:val="00CB45AD"/>
    <w:rsid w:val="00CC1B4F"/>
    <w:rsid w:val="00CD12DC"/>
    <w:rsid w:val="00CE6B43"/>
    <w:rsid w:val="00CF4629"/>
    <w:rsid w:val="00CF697A"/>
    <w:rsid w:val="00D069BA"/>
    <w:rsid w:val="00D23423"/>
    <w:rsid w:val="00D23C20"/>
    <w:rsid w:val="00D31FD7"/>
    <w:rsid w:val="00D403BF"/>
    <w:rsid w:val="00D45903"/>
    <w:rsid w:val="00D46E00"/>
    <w:rsid w:val="00D46ED3"/>
    <w:rsid w:val="00D51AB0"/>
    <w:rsid w:val="00D53065"/>
    <w:rsid w:val="00D60429"/>
    <w:rsid w:val="00D72E98"/>
    <w:rsid w:val="00D81462"/>
    <w:rsid w:val="00DB4120"/>
    <w:rsid w:val="00DB67F2"/>
    <w:rsid w:val="00DD56CB"/>
    <w:rsid w:val="00DE14BD"/>
    <w:rsid w:val="00DE1C46"/>
    <w:rsid w:val="00DE5271"/>
    <w:rsid w:val="00E038B5"/>
    <w:rsid w:val="00E0438F"/>
    <w:rsid w:val="00E13779"/>
    <w:rsid w:val="00E23A24"/>
    <w:rsid w:val="00E24287"/>
    <w:rsid w:val="00E2527D"/>
    <w:rsid w:val="00E26E2B"/>
    <w:rsid w:val="00E46D1A"/>
    <w:rsid w:val="00E56E12"/>
    <w:rsid w:val="00E8184C"/>
    <w:rsid w:val="00E829A3"/>
    <w:rsid w:val="00E96C71"/>
    <w:rsid w:val="00EA0374"/>
    <w:rsid w:val="00EA21AA"/>
    <w:rsid w:val="00EC0502"/>
    <w:rsid w:val="00ED1862"/>
    <w:rsid w:val="00ED4442"/>
    <w:rsid w:val="00ED4C83"/>
    <w:rsid w:val="00ED79E5"/>
    <w:rsid w:val="00EE3494"/>
    <w:rsid w:val="00EF16DB"/>
    <w:rsid w:val="00EF49F8"/>
    <w:rsid w:val="00F078ED"/>
    <w:rsid w:val="00F11C31"/>
    <w:rsid w:val="00F16184"/>
    <w:rsid w:val="00F22D73"/>
    <w:rsid w:val="00F24CDD"/>
    <w:rsid w:val="00F303CE"/>
    <w:rsid w:val="00F34AD1"/>
    <w:rsid w:val="00F357A9"/>
    <w:rsid w:val="00F4246B"/>
    <w:rsid w:val="00F5344B"/>
    <w:rsid w:val="00F55282"/>
    <w:rsid w:val="00F55806"/>
    <w:rsid w:val="00F75E24"/>
    <w:rsid w:val="00F816A6"/>
    <w:rsid w:val="00F83CBF"/>
    <w:rsid w:val="00F866F8"/>
    <w:rsid w:val="00F90556"/>
    <w:rsid w:val="00FB02B7"/>
    <w:rsid w:val="00FC0766"/>
    <w:rsid w:val="00FC0E20"/>
    <w:rsid w:val="00FC4298"/>
    <w:rsid w:val="00FC5684"/>
    <w:rsid w:val="00FC7FD5"/>
    <w:rsid w:val="00FE0B30"/>
    <w:rsid w:val="00FE7846"/>
    <w:rsid w:val="00FF66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BDCFB"/>
  <w15:chartTrackingRefBased/>
  <w15:docId w15:val="{CB5567E4-CBE2-403A-A13A-C41E5F6B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C12"/>
    <w:pPr>
      <w:spacing w:after="0" w:line="240" w:lineRule="auto"/>
    </w:pPr>
    <w:rPr>
      <w:rFonts w:ascii="Times New Roman" w:hAnsi="Times New Roman" w:cs="Times New Roman"/>
      <w:sz w:val="24"/>
      <w:szCs w:val="24"/>
      <w:lang w:eastAsia="es-ES_tradnl"/>
    </w:rPr>
  </w:style>
  <w:style w:type="paragraph" w:styleId="Ttulo3">
    <w:name w:val="heading 3"/>
    <w:basedOn w:val="Normal"/>
    <w:next w:val="Normal"/>
    <w:link w:val="Ttulo3Car"/>
    <w:rsid w:val="009E5C97"/>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2C12"/>
    <w:pPr>
      <w:ind w:left="720"/>
      <w:contextualSpacing/>
    </w:pPr>
    <w:rPr>
      <w:rFonts w:asciiTheme="minorHAnsi" w:hAnsiTheme="minorHAnsi" w:cstheme="minorBidi"/>
      <w:lang w:eastAsia="en-US"/>
    </w:rPr>
  </w:style>
  <w:style w:type="paragraph" w:styleId="Encabezado">
    <w:name w:val="header"/>
    <w:basedOn w:val="Normal"/>
    <w:link w:val="EncabezadoCar"/>
    <w:uiPriority w:val="99"/>
    <w:unhideWhenUsed/>
    <w:rsid w:val="00982C12"/>
    <w:pPr>
      <w:tabs>
        <w:tab w:val="center" w:pos="4419"/>
        <w:tab w:val="right" w:pos="8838"/>
      </w:tabs>
    </w:pPr>
    <w:rPr>
      <w:rFonts w:asciiTheme="minorHAnsi" w:hAnsiTheme="minorHAnsi" w:cstheme="minorBidi"/>
      <w:lang w:eastAsia="en-US"/>
    </w:rPr>
  </w:style>
  <w:style w:type="character" w:customStyle="1" w:styleId="EncabezadoCar">
    <w:name w:val="Encabezado Car"/>
    <w:basedOn w:val="Fuentedeprrafopredeter"/>
    <w:link w:val="Encabezado"/>
    <w:uiPriority w:val="99"/>
    <w:rsid w:val="00982C12"/>
    <w:rPr>
      <w:sz w:val="24"/>
      <w:szCs w:val="24"/>
      <w:lang w:val="es-ES_tradnl"/>
    </w:rPr>
  </w:style>
  <w:style w:type="paragraph" w:styleId="Piedepgina">
    <w:name w:val="footer"/>
    <w:basedOn w:val="Normal"/>
    <w:link w:val="PiedepginaCar"/>
    <w:uiPriority w:val="99"/>
    <w:unhideWhenUsed/>
    <w:rsid w:val="00982C12"/>
    <w:pPr>
      <w:tabs>
        <w:tab w:val="center" w:pos="4419"/>
        <w:tab w:val="right" w:pos="8838"/>
      </w:tabs>
    </w:pPr>
    <w:rPr>
      <w:rFonts w:asciiTheme="minorHAnsi" w:hAnsiTheme="minorHAnsi" w:cstheme="minorBidi"/>
      <w:lang w:eastAsia="en-US"/>
    </w:rPr>
  </w:style>
  <w:style w:type="character" w:customStyle="1" w:styleId="PiedepginaCar">
    <w:name w:val="Pie de página Car"/>
    <w:basedOn w:val="Fuentedeprrafopredeter"/>
    <w:link w:val="Piedepgina"/>
    <w:uiPriority w:val="99"/>
    <w:rsid w:val="00982C12"/>
    <w:rPr>
      <w:sz w:val="24"/>
      <w:szCs w:val="24"/>
      <w:lang w:val="es-ES_tradnl"/>
    </w:rPr>
  </w:style>
  <w:style w:type="paragraph" w:styleId="Textonotapie">
    <w:name w:val="footnote text"/>
    <w:basedOn w:val="Normal"/>
    <w:link w:val="TextonotapieCar"/>
    <w:uiPriority w:val="99"/>
    <w:unhideWhenUsed/>
    <w:rsid w:val="00982C12"/>
    <w:rPr>
      <w:rFonts w:asciiTheme="minorHAnsi" w:hAnsiTheme="minorHAnsi" w:cstheme="minorBidi"/>
      <w:lang w:eastAsia="en-US"/>
    </w:rPr>
  </w:style>
  <w:style w:type="character" w:customStyle="1" w:styleId="TextonotapieCar">
    <w:name w:val="Texto nota pie Car"/>
    <w:basedOn w:val="Fuentedeprrafopredeter"/>
    <w:link w:val="Textonotapie"/>
    <w:uiPriority w:val="99"/>
    <w:rsid w:val="00982C12"/>
    <w:rPr>
      <w:sz w:val="24"/>
      <w:szCs w:val="24"/>
      <w:lang w:val="es-ES_tradnl"/>
    </w:rPr>
  </w:style>
  <w:style w:type="character" w:styleId="Refdenotaalpie">
    <w:name w:val="footnote reference"/>
    <w:basedOn w:val="Fuentedeprrafopredeter"/>
    <w:uiPriority w:val="99"/>
    <w:unhideWhenUsed/>
    <w:rsid w:val="00982C12"/>
    <w:rPr>
      <w:vertAlign w:val="superscript"/>
    </w:rPr>
  </w:style>
  <w:style w:type="table" w:styleId="Tablaconcuadrcula">
    <w:name w:val="Table Grid"/>
    <w:basedOn w:val="Tablanormal"/>
    <w:uiPriority w:val="39"/>
    <w:rsid w:val="00982C12"/>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982C12"/>
    <w:pPr>
      <w:spacing w:after="63" w:line="240" w:lineRule="atLeast"/>
    </w:pPr>
    <w:rPr>
      <w:rFonts w:ascii="Helvetica" w:hAnsi="Helvetica"/>
      <w:sz w:val="21"/>
      <w:szCs w:val="21"/>
    </w:rPr>
  </w:style>
  <w:style w:type="character" w:styleId="Hipervnculo">
    <w:name w:val="Hyperlink"/>
    <w:basedOn w:val="Fuentedeprrafopredeter"/>
    <w:uiPriority w:val="99"/>
    <w:unhideWhenUsed/>
    <w:rsid w:val="00982C12"/>
    <w:rPr>
      <w:color w:val="0563C1" w:themeColor="hyperlink"/>
      <w:u w:val="single"/>
    </w:rPr>
  </w:style>
  <w:style w:type="character" w:styleId="Hipervnculovisitado">
    <w:name w:val="FollowedHyperlink"/>
    <w:basedOn w:val="Fuentedeprrafopredeter"/>
    <w:uiPriority w:val="99"/>
    <w:semiHidden/>
    <w:unhideWhenUsed/>
    <w:rsid w:val="00982C12"/>
    <w:rPr>
      <w:color w:val="954F72" w:themeColor="followedHyperlink"/>
      <w:u w:val="single"/>
    </w:rPr>
  </w:style>
  <w:style w:type="paragraph" w:styleId="Sinespaciado">
    <w:name w:val="No Spacing"/>
    <w:uiPriority w:val="1"/>
    <w:qFormat/>
    <w:rsid w:val="00982C12"/>
    <w:pPr>
      <w:spacing w:after="0" w:line="240" w:lineRule="auto"/>
    </w:pPr>
    <w:rPr>
      <w:sz w:val="24"/>
      <w:szCs w:val="24"/>
      <w:lang w:val="es-ES_tradnl"/>
    </w:rPr>
  </w:style>
  <w:style w:type="character" w:styleId="Nmerodelnea">
    <w:name w:val="line number"/>
    <w:basedOn w:val="Fuentedeprrafopredeter"/>
    <w:uiPriority w:val="99"/>
    <w:semiHidden/>
    <w:unhideWhenUsed/>
    <w:rsid w:val="00982C12"/>
  </w:style>
  <w:style w:type="character" w:styleId="Textodelmarcadordeposicin">
    <w:name w:val="Placeholder Text"/>
    <w:basedOn w:val="Fuentedeprrafopredeter"/>
    <w:uiPriority w:val="99"/>
    <w:semiHidden/>
    <w:rsid w:val="00982C12"/>
    <w:rPr>
      <w:color w:val="808080"/>
    </w:rPr>
  </w:style>
  <w:style w:type="character" w:styleId="Refdecomentario">
    <w:name w:val="annotation reference"/>
    <w:basedOn w:val="Fuentedeprrafopredeter"/>
    <w:uiPriority w:val="99"/>
    <w:semiHidden/>
    <w:unhideWhenUsed/>
    <w:rsid w:val="00982C12"/>
    <w:rPr>
      <w:sz w:val="16"/>
      <w:szCs w:val="16"/>
    </w:rPr>
  </w:style>
  <w:style w:type="paragraph" w:styleId="Textocomentario">
    <w:name w:val="annotation text"/>
    <w:basedOn w:val="Normal"/>
    <w:link w:val="TextocomentarioCar"/>
    <w:uiPriority w:val="99"/>
    <w:unhideWhenUsed/>
    <w:rsid w:val="00982C12"/>
    <w:rPr>
      <w:sz w:val="20"/>
      <w:szCs w:val="20"/>
    </w:rPr>
  </w:style>
  <w:style w:type="character" w:customStyle="1" w:styleId="TextocomentarioCar">
    <w:name w:val="Texto comentario Car"/>
    <w:basedOn w:val="Fuentedeprrafopredeter"/>
    <w:link w:val="Textocomentario"/>
    <w:uiPriority w:val="99"/>
    <w:rsid w:val="00982C12"/>
    <w:rPr>
      <w:rFonts w:ascii="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982C12"/>
    <w:rPr>
      <w:b/>
      <w:bCs/>
    </w:rPr>
  </w:style>
  <w:style w:type="character" w:customStyle="1" w:styleId="AsuntodelcomentarioCar">
    <w:name w:val="Asunto del comentario Car"/>
    <w:basedOn w:val="TextocomentarioCar"/>
    <w:link w:val="Asuntodelcomentario"/>
    <w:uiPriority w:val="99"/>
    <w:semiHidden/>
    <w:rsid w:val="00982C12"/>
    <w:rPr>
      <w:rFonts w:ascii="Times New Roman" w:hAnsi="Times New Roman" w:cs="Times New Roman"/>
      <w:b/>
      <w:bCs/>
      <w:sz w:val="20"/>
      <w:szCs w:val="20"/>
      <w:lang w:val="es-ES_tradnl" w:eastAsia="es-ES_tradnl"/>
    </w:rPr>
  </w:style>
  <w:style w:type="character" w:customStyle="1" w:styleId="Mencinsinresolver1">
    <w:name w:val="Mención sin resolver1"/>
    <w:basedOn w:val="Fuentedeprrafopredeter"/>
    <w:uiPriority w:val="99"/>
    <w:rsid w:val="00982C12"/>
    <w:rPr>
      <w:color w:val="605E5C"/>
      <w:shd w:val="clear" w:color="auto" w:fill="E1DFDD"/>
    </w:rPr>
  </w:style>
  <w:style w:type="character" w:styleId="Nmerodepgina">
    <w:name w:val="page number"/>
    <w:basedOn w:val="Fuentedeprrafopredeter"/>
    <w:uiPriority w:val="99"/>
    <w:semiHidden/>
    <w:unhideWhenUsed/>
    <w:rsid w:val="00982C12"/>
  </w:style>
  <w:style w:type="paragraph" w:customStyle="1" w:styleId="Default">
    <w:name w:val="Default"/>
    <w:rsid w:val="00982C12"/>
    <w:pPr>
      <w:autoSpaceDE w:val="0"/>
      <w:autoSpaceDN w:val="0"/>
      <w:adjustRightInd w:val="0"/>
      <w:spacing w:after="0" w:line="240" w:lineRule="auto"/>
    </w:pPr>
    <w:rPr>
      <w:rFonts w:ascii="Museo Slab 100" w:hAnsi="Museo Slab 100" w:cs="Museo Slab 100"/>
      <w:color w:val="000000"/>
      <w:sz w:val="24"/>
      <w:szCs w:val="24"/>
    </w:rPr>
  </w:style>
  <w:style w:type="paragraph" w:styleId="HTMLconformatoprevio">
    <w:name w:val="HTML Preformatted"/>
    <w:basedOn w:val="Normal"/>
    <w:link w:val="HTMLconformatoprevioCar"/>
    <w:uiPriority w:val="99"/>
    <w:unhideWhenUsed/>
    <w:rsid w:val="00172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1720E3"/>
    <w:rPr>
      <w:rFonts w:ascii="Courier New" w:eastAsia="Times New Roman" w:hAnsi="Courier New" w:cs="Courier New"/>
      <w:sz w:val="20"/>
      <w:szCs w:val="20"/>
      <w:lang w:eastAsia="es-MX"/>
    </w:rPr>
  </w:style>
  <w:style w:type="character" w:customStyle="1" w:styleId="Ttulo3Car">
    <w:name w:val="Título 3 Car"/>
    <w:basedOn w:val="Fuentedeprrafopredeter"/>
    <w:link w:val="Ttulo3"/>
    <w:rsid w:val="009E5C97"/>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4017">
      <w:bodyDiv w:val="1"/>
      <w:marLeft w:val="0"/>
      <w:marRight w:val="0"/>
      <w:marTop w:val="0"/>
      <w:marBottom w:val="0"/>
      <w:divBdr>
        <w:top w:val="none" w:sz="0" w:space="0" w:color="auto"/>
        <w:left w:val="none" w:sz="0" w:space="0" w:color="auto"/>
        <w:bottom w:val="none" w:sz="0" w:space="0" w:color="auto"/>
        <w:right w:val="none" w:sz="0" w:space="0" w:color="auto"/>
      </w:divBdr>
      <w:divsChild>
        <w:div w:id="1393578506">
          <w:marLeft w:val="0"/>
          <w:marRight w:val="0"/>
          <w:marTop w:val="0"/>
          <w:marBottom w:val="0"/>
          <w:divBdr>
            <w:top w:val="none" w:sz="0" w:space="0" w:color="auto"/>
            <w:left w:val="none" w:sz="0" w:space="0" w:color="auto"/>
            <w:bottom w:val="none" w:sz="0" w:space="0" w:color="auto"/>
            <w:right w:val="none" w:sz="0" w:space="0" w:color="auto"/>
          </w:divBdr>
        </w:div>
        <w:div w:id="1665862867">
          <w:marLeft w:val="0"/>
          <w:marRight w:val="0"/>
          <w:marTop w:val="0"/>
          <w:marBottom w:val="0"/>
          <w:divBdr>
            <w:top w:val="none" w:sz="0" w:space="0" w:color="auto"/>
            <w:left w:val="none" w:sz="0" w:space="0" w:color="auto"/>
            <w:bottom w:val="none" w:sz="0" w:space="0" w:color="auto"/>
            <w:right w:val="none" w:sz="0" w:space="0" w:color="auto"/>
          </w:divBdr>
        </w:div>
        <w:div w:id="2140879297">
          <w:marLeft w:val="0"/>
          <w:marRight w:val="0"/>
          <w:marTop w:val="0"/>
          <w:marBottom w:val="0"/>
          <w:divBdr>
            <w:top w:val="none" w:sz="0" w:space="0" w:color="auto"/>
            <w:left w:val="none" w:sz="0" w:space="0" w:color="auto"/>
            <w:bottom w:val="none" w:sz="0" w:space="0" w:color="auto"/>
            <w:right w:val="none" w:sz="0" w:space="0" w:color="auto"/>
          </w:divBdr>
        </w:div>
        <w:div w:id="688408947">
          <w:marLeft w:val="0"/>
          <w:marRight w:val="0"/>
          <w:marTop w:val="0"/>
          <w:marBottom w:val="0"/>
          <w:divBdr>
            <w:top w:val="none" w:sz="0" w:space="0" w:color="auto"/>
            <w:left w:val="none" w:sz="0" w:space="0" w:color="auto"/>
            <w:bottom w:val="none" w:sz="0" w:space="0" w:color="auto"/>
            <w:right w:val="none" w:sz="0" w:space="0" w:color="auto"/>
          </w:divBdr>
        </w:div>
        <w:div w:id="1557280130">
          <w:marLeft w:val="0"/>
          <w:marRight w:val="0"/>
          <w:marTop w:val="0"/>
          <w:marBottom w:val="0"/>
          <w:divBdr>
            <w:top w:val="none" w:sz="0" w:space="0" w:color="auto"/>
            <w:left w:val="none" w:sz="0" w:space="0" w:color="auto"/>
            <w:bottom w:val="none" w:sz="0" w:space="0" w:color="auto"/>
            <w:right w:val="none" w:sz="0" w:space="0" w:color="auto"/>
          </w:divBdr>
        </w:div>
        <w:div w:id="1479031468">
          <w:marLeft w:val="0"/>
          <w:marRight w:val="0"/>
          <w:marTop w:val="0"/>
          <w:marBottom w:val="0"/>
          <w:divBdr>
            <w:top w:val="none" w:sz="0" w:space="0" w:color="auto"/>
            <w:left w:val="none" w:sz="0" w:space="0" w:color="auto"/>
            <w:bottom w:val="none" w:sz="0" w:space="0" w:color="auto"/>
            <w:right w:val="none" w:sz="0" w:space="0" w:color="auto"/>
          </w:divBdr>
        </w:div>
        <w:div w:id="58097333">
          <w:marLeft w:val="0"/>
          <w:marRight w:val="0"/>
          <w:marTop w:val="0"/>
          <w:marBottom w:val="0"/>
          <w:divBdr>
            <w:top w:val="none" w:sz="0" w:space="0" w:color="auto"/>
            <w:left w:val="none" w:sz="0" w:space="0" w:color="auto"/>
            <w:bottom w:val="none" w:sz="0" w:space="0" w:color="auto"/>
            <w:right w:val="none" w:sz="0" w:space="0" w:color="auto"/>
          </w:divBdr>
        </w:div>
      </w:divsChild>
    </w:div>
    <w:div w:id="466556766">
      <w:bodyDiv w:val="1"/>
      <w:marLeft w:val="0"/>
      <w:marRight w:val="0"/>
      <w:marTop w:val="0"/>
      <w:marBottom w:val="0"/>
      <w:divBdr>
        <w:top w:val="none" w:sz="0" w:space="0" w:color="auto"/>
        <w:left w:val="none" w:sz="0" w:space="0" w:color="auto"/>
        <w:bottom w:val="none" w:sz="0" w:space="0" w:color="auto"/>
        <w:right w:val="none" w:sz="0" w:space="0" w:color="auto"/>
      </w:divBdr>
    </w:div>
    <w:div w:id="868375019">
      <w:bodyDiv w:val="1"/>
      <w:marLeft w:val="0"/>
      <w:marRight w:val="0"/>
      <w:marTop w:val="0"/>
      <w:marBottom w:val="0"/>
      <w:divBdr>
        <w:top w:val="none" w:sz="0" w:space="0" w:color="auto"/>
        <w:left w:val="none" w:sz="0" w:space="0" w:color="auto"/>
        <w:bottom w:val="none" w:sz="0" w:space="0" w:color="auto"/>
        <w:right w:val="none" w:sz="0" w:space="0" w:color="auto"/>
      </w:divBdr>
    </w:div>
    <w:div w:id="168486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tsc.2022.101228" TargetMode="External"/><Relationship Id="rId21" Type="http://schemas.openxmlformats.org/officeDocument/2006/relationships/hyperlink" Target="https://doi.org/10.14198/fem.2019.33.09" TargetMode="External"/><Relationship Id="rId42" Type="http://schemas.openxmlformats.org/officeDocument/2006/relationships/hyperlink" Target="https://doi.org/10.1016/j.apergo.2018.09.003" TargetMode="External"/><Relationship Id="rId47" Type="http://schemas.openxmlformats.org/officeDocument/2006/relationships/hyperlink" Target="https://doi.org/10.24320/redie.2018.20.1.1347" TargetMode="External"/><Relationship Id="rId63" Type="http://schemas.openxmlformats.org/officeDocument/2006/relationships/hyperlink" Target="https://doi.org/10.5377/rpsp.v7i2.5467" TargetMode="External"/><Relationship Id="rId68" Type="http://schemas.openxmlformats.org/officeDocument/2006/relationships/hyperlink" Target="https://doi.org/10.1016/j.ssci.2022.105851" TargetMode="External"/><Relationship Id="rId16" Type="http://schemas.openxmlformats.org/officeDocument/2006/relationships/hyperlink" Target="https://scielo.isciii.es/scielo.php?script=sci_arttext&amp;pid=S113212962022000200015" TargetMode="External"/><Relationship Id="rId11" Type="http://schemas.openxmlformats.org/officeDocument/2006/relationships/hyperlink" Target="https://doi.org/10.1016/j.matpr.2021.01.585" TargetMode="External"/><Relationship Id="rId32" Type="http://schemas.openxmlformats.org/officeDocument/2006/relationships/hyperlink" Target="https://www.researchgate.net/publication/302438451_Validez_de_contenido_y_juicio_de_expertos_Una_aproximacion_a_su_utilizacion" TargetMode="External"/><Relationship Id="rId37" Type="http://schemas.openxmlformats.org/officeDocument/2006/relationships/hyperlink" Target="http://dx.doi.org/10.32870/Ap.v12n1.1812" TargetMode="External"/><Relationship Id="rId53" Type="http://schemas.openxmlformats.org/officeDocument/2006/relationships/hyperlink" Target="https://kupdf.net/download/nunnally-bernstein-psychometric-theory-3ed-1994_58ed3368dc0d60536bda97f3_pdf" TargetMode="External"/><Relationship Id="rId58" Type="http://schemas.openxmlformats.org/officeDocument/2006/relationships/hyperlink" Target="https://doi.org/10.22430/22565337.1449" TargetMode="External"/><Relationship Id="rId74" Type="http://schemas.openxmlformats.org/officeDocument/2006/relationships/hyperlink" Target="https://doi.org/10.1016/j.ecns.2020.11.002" TargetMode="External"/><Relationship Id="rId79" Type="http://schemas.openxmlformats.org/officeDocument/2006/relationships/hyperlink" Target="https://ira.lib.polyu.edu.hk/handle/10397/88027" TargetMode="External"/><Relationship Id="rId5" Type="http://schemas.openxmlformats.org/officeDocument/2006/relationships/webSettings" Target="webSettings.xml"/><Relationship Id="rId61" Type="http://schemas.openxmlformats.org/officeDocument/2006/relationships/hyperlink" Target="https://doi.org/10.15517/revedu.v43i1.28179" TargetMode="External"/><Relationship Id="rId82" Type="http://schemas.openxmlformats.org/officeDocument/2006/relationships/fontTable" Target="fontTable.xml"/><Relationship Id="rId19" Type="http://schemas.openxmlformats.org/officeDocument/2006/relationships/hyperlink" Target="https://doi.org/10.1002/job.1960" TargetMode="External"/><Relationship Id="rId14" Type="http://schemas.openxmlformats.org/officeDocument/2006/relationships/hyperlink" Target="https://doi.org/10.19136/hitos.a29n83.5667" TargetMode="External"/><Relationship Id="rId22" Type="http://schemas.openxmlformats.org/officeDocument/2006/relationships/hyperlink" Target="https://doi.org/10.19136/hs.a20n2.3891" TargetMode="External"/><Relationship Id="rId27" Type="http://schemas.openxmlformats.org/officeDocument/2006/relationships/hyperlink" Target="https://doi.org/10.14211/regepe.v7i3.704" TargetMode="External"/><Relationship Id="rId30" Type="http://schemas.openxmlformats.org/officeDocument/2006/relationships/hyperlink" Target="https://doi.org/10.29057/esat.v8i15.6693" TargetMode="External"/><Relationship Id="rId35" Type="http://schemas.openxmlformats.org/officeDocument/2006/relationships/hyperlink" Target="https://doi.org/10.22201/iibi.0187358xp.2017.72.57825" TargetMode="External"/><Relationship Id="rId43" Type="http://schemas.openxmlformats.org/officeDocument/2006/relationships/hyperlink" Target="https://vparrales.files.wordpress.com/2012/08/14074128-primer-curso-de-contabilidad-elias-lara-flores-trillas-16a-edicion2.pdf" TargetMode="External"/><Relationship Id="rId48" Type="http://schemas.openxmlformats.org/officeDocument/2006/relationships/hyperlink" Target="https://doi.org/10.20983/novarua.2020.21.2" TargetMode="External"/><Relationship Id="rId56" Type="http://schemas.openxmlformats.org/officeDocument/2006/relationships/hyperlink" Target="https://www.researchgate.net/publication/294260238_Software_Tecnologia_para_el_Procesamiento_de_Informacion" TargetMode="External"/><Relationship Id="rId64" Type="http://schemas.openxmlformats.org/officeDocument/2006/relationships/hyperlink" Target="http://doi.org/10.15174/au.2023.3775" TargetMode="External"/><Relationship Id="rId69" Type="http://schemas.openxmlformats.org/officeDocument/2006/relationships/hyperlink" Target="https://doi.org/10.1016/j.autcon.2023.104921" TargetMode="External"/><Relationship Id="rId77" Type="http://schemas.openxmlformats.org/officeDocument/2006/relationships/hyperlink" Target="http://www.redalyc.org/articulo.oa?id=476847248008" TargetMode="External"/><Relationship Id="rId8" Type="http://schemas.openxmlformats.org/officeDocument/2006/relationships/hyperlink" Target="https://doi.org/10.28945/4088" TargetMode="External"/><Relationship Id="rId51" Type="http://schemas.openxmlformats.org/officeDocument/2006/relationships/hyperlink" Target="https://doi.org/10.17843/rpmesp.2019.362.4621" TargetMode="External"/><Relationship Id="rId72" Type="http://schemas.openxmlformats.org/officeDocument/2006/relationships/hyperlink" Target="https://doi.org/10.37354/riee.2023.231"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016/j.hjdsi.2022.100623" TargetMode="External"/><Relationship Id="rId17" Type="http://schemas.openxmlformats.org/officeDocument/2006/relationships/hyperlink" Target="https://doi.org/10.1016/j.edumed.2018.08.008" TargetMode="External"/><Relationship Id="rId25" Type="http://schemas.openxmlformats.org/officeDocument/2006/relationships/hyperlink" Target="https://doi.org/10.1016/j.pmn.2021.04.003" TargetMode="External"/><Relationship Id="rId33" Type="http://schemas.openxmlformats.org/officeDocument/2006/relationships/hyperlink" Target="https://doi.org/10.1016/j.rcp.2020.11.010" TargetMode="External"/><Relationship Id="rId38" Type="http://schemas.openxmlformats.org/officeDocument/2006/relationships/hyperlink" Target="https://www.uca.ac.cr/wp-content/uploads/2017/10/Investigacion.pdf" TargetMode="External"/><Relationship Id="rId46" Type="http://schemas.openxmlformats.org/officeDocument/2006/relationships/hyperlink" Target="https://doi.org/10.1016/j.gaceta.2021.11.002" TargetMode="External"/><Relationship Id="rId59" Type="http://schemas.openxmlformats.org/officeDocument/2006/relationships/hyperlink" Target="https://revistas.utb.edu.ec/index.php/sr/article/view/1046" TargetMode="External"/><Relationship Id="rId67" Type="http://schemas.openxmlformats.org/officeDocument/2006/relationships/hyperlink" Target="https://dialnet.unirioja.es/servlet/articulo?codigo=8358273" TargetMode="External"/><Relationship Id="rId20" Type="http://schemas.openxmlformats.org/officeDocument/2006/relationships/hyperlink" Target="https://www.redalyc.org/articulo.oa?id=637967183003" TargetMode="External"/><Relationship Id="rId41" Type="http://schemas.openxmlformats.org/officeDocument/2006/relationships/hyperlink" Target="https://doi.org/10.1016/j.jcjq.2023.01.006" TargetMode="External"/><Relationship Id="rId54" Type="http://schemas.openxmlformats.org/officeDocument/2006/relationships/hyperlink" Target="http://www.congresoson.gob.mx:81/Content/ISO/documentos/ISO_9001_2015.pdf" TargetMode="External"/><Relationship Id="rId62" Type="http://schemas.openxmlformats.org/officeDocument/2006/relationships/hyperlink" Target="https://www.doi.org/10.33326/27086062.2023.1.1539" TargetMode="External"/><Relationship Id="rId70" Type="http://schemas.openxmlformats.org/officeDocument/2006/relationships/hyperlink" Target="https://gc.scalahed.com/recursos/files/r161r/w25469w/ingdelsoftwarelibro9_compressed.pdf" TargetMode="External"/><Relationship Id="rId75" Type="http://schemas.openxmlformats.org/officeDocument/2006/relationships/hyperlink" Target="https://doi.org/10.21919/remef.v15i3.516"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9057/icsa.v11i21.10048" TargetMode="External"/><Relationship Id="rId23" Type="http://schemas.openxmlformats.org/officeDocument/2006/relationships/hyperlink" Target="https://doi.org/10.21703/0718-5162202202102147004" TargetMode="External"/><Relationship Id="rId28" Type="http://schemas.openxmlformats.org/officeDocument/2006/relationships/hyperlink" Target="https://www.researchgate.net/publication/309735958_Juicio_de_expertos_para_la_validacion_de_un_instrumento_de_medicion_del_sindrome_de_burnout_en_la_docencia" TargetMode="External"/><Relationship Id="rId36" Type="http://schemas.openxmlformats.org/officeDocument/2006/relationships/hyperlink" Target="https://www.redalyc.org/articulo.oa?id=193969257006" TargetMode="External"/><Relationship Id="rId49" Type="http://schemas.openxmlformats.org/officeDocument/2006/relationships/hyperlink" Target="https://doi.org/10.1016/j.redar.2021.09.013" TargetMode="External"/><Relationship Id="rId57" Type="http://schemas.openxmlformats.org/officeDocument/2006/relationships/hyperlink" Target="https://doi.org/10.23913/ride.v11i22.940" TargetMode="External"/><Relationship Id="rId10" Type="http://schemas.openxmlformats.org/officeDocument/2006/relationships/hyperlink" Target="https://doi.org/10.15359/rgac.62-1.11" TargetMode="External"/><Relationship Id="rId31" Type="http://schemas.openxmlformats.org/officeDocument/2006/relationships/hyperlink" Target="https://doi.org/10.1016/j.mex.2021.101326" TargetMode="External"/><Relationship Id="rId44" Type="http://schemas.openxmlformats.org/officeDocument/2006/relationships/hyperlink" Target="https://juanantonioleonlopez.files.wordpress.com/2017/08/sistemas-de-informacic3b3n-gerencial-12va-edicic3b3n-kenneth-c-laudon.pdf" TargetMode="External"/><Relationship Id="rId52" Type="http://schemas.openxmlformats.org/officeDocument/2006/relationships/hyperlink" Target="https://www.stps.gob.mx/bp/secciones/dgsst/normatividad/normas/nom-001.pdf" TargetMode="External"/><Relationship Id="rId60" Type="http://schemas.openxmlformats.org/officeDocument/2006/relationships/hyperlink" Target="http://www.redalyc.org/articulo.oa?id=37525388018" TargetMode="External"/><Relationship Id="rId65" Type="http://schemas.openxmlformats.org/officeDocument/2006/relationships/hyperlink" Target="https://doi.org/10.22430/24223182.2126" TargetMode="External"/><Relationship Id="rId73" Type="http://schemas.openxmlformats.org/officeDocument/2006/relationships/hyperlink" Target="https://www.cua.uam.mx/pdfs/coplavi/s_p/doc_ng/validacion-de-instrumentos-de-medicion.pdf" TargetMode="External"/><Relationship Id="rId78" Type="http://schemas.openxmlformats.org/officeDocument/2006/relationships/hyperlink" Target="https://conrado.ucf.edu.cu/index.php/conrado/article/view/3232"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vmgi.sld.cu/index.php/mgi/article/view/1856" TargetMode="External"/><Relationship Id="rId13" Type="http://schemas.openxmlformats.org/officeDocument/2006/relationships/hyperlink" Target="http://repositorio.uigv.edu.pe/bitstream/handle/20.500.11818/1189/Libro%20TIC%20%282%29-1-76%20%281%29.pdf?sequence=1" TargetMode="External"/><Relationship Id="rId18" Type="http://schemas.openxmlformats.org/officeDocument/2006/relationships/hyperlink" Target="https://revistas.unc.edu.ar/index.php/revaluar" TargetMode="External"/><Relationship Id="rId39" Type="http://schemas.openxmlformats.org/officeDocument/2006/relationships/hyperlink" Target="https://doi.org/10.3389/fpsyg.2022.764121" TargetMode="External"/><Relationship Id="rId34" Type="http://schemas.openxmlformats.org/officeDocument/2006/relationships/hyperlink" Target="https://doi.org/10.1016/j.ijproman.2021.01.004" TargetMode="External"/><Relationship Id="rId50" Type="http://schemas.openxmlformats.org/officeDocument/2006/relationships/hyperlink" Target="https://www.comie.org.mx/congreso/memoriaelectronica/v14/doc/2718.pdf" TargetMode="External"/><Relationship Id="rId55" Type="http://schemas.openxmlformats.org/officeDocument/2006/relationships/hyperlink" Target="https://cdn.standards.iteh.ai/samples/75736/0c43916d973149f5834ee4581f2ce73a/ISO-10013-2021.pdf" TargetMode="External"/><Relationship Id="rId76" Type="http://schemas.openxmlformats.org/officeDocument/2006/relationships/hyperlink" Target="https://www.redalyc.org/articulo.oa?id=573667939006" TargetMode="External"/><Relationship Id="rId7" Type="http://schemas.openxmlformats.org/officeDocument/2006/relationships/endnotes" Target="endnotes.xml"/><Relationship Id="rId71" Type="http://schemas.openxmlformats.org/officeDocument/2006/relationships/hyperlink" Target="https://dokumen.tips/documents/principios-de-sistemas-de-informacion-un-enfoque-administrativo.html?page=1" TargetMode="External"/><Relationship Id="rId2" Type="http://schemas.openxmlformats.org/officeDocument/2006/relationships/numbering" Target="numbering.xml"/><Relationship Id="rId29" Type="http://schemas.openxmlformats.org/officeDocument/2006/relationships/hyperlink" Target="https://www.jlls.org/index.php/jlls/article/view/4986" TargetMode="External"/><Relationship Id="rId24" Type="http://schemas.openxmlformats.org/officeDocument/2006/relationships/hyperlink" Target="https://doi.org/10.1037/0021-9010.78.1.98" TargetMode="External"/><Relationship Id="rId40" Type="http://schemas.openxmlformats.org/officeDocument/2006/relationships/hyperlink" Target="https://akela.mendelu.cz/~lidak/IPI/ISO_IEC_27000_2018.pdf" TargetMode="External"/><Relationship Id="rId45" Type="http://schemas.openxmlformats.org/officeDocument/2006/relationships/hyperlink" Target="https://doi.org/10.15517/revedu.v46i1.43853" TargetMode="External"/><Relationship Id="rId66" Type="http://schemas.openxmlformats.org/officeDocument/2006/relationships/hyperlink" Target="http://doi.org/10.15174.au.2021.291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CBBEA-1061-4B2F-ACD6-38CBE5D6C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30</Pages>
  <Words>10720</Words>
  <Characters>58966</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Lopez</dc:creator>
  <cp:keywords/>
  <dc:description/>
  <cp:lastModifiedBy>Gustavo Toledo</cp:lastModifiedBy>
  <cp:revision>5</cp:revision>
  <dcterms:created xsi:type="dcterms:W3CDTF">2024-02-14T14:27:00Z</dcterms:created>
  <dcterms:modified xsi:type="dcterms:W3CDTF">2024-02-19T21:54:00Z</dcterms:modified>
</cp:coreProperties>
</file>